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noProof w:val="0"/>
        </w:rPr>
        <w:id w:val="-1559860284"/>
        <w:docPartObj>
          <w:docPartGallery w:val="Cover Pages"/>
          <w:docPartUnique/>
        </w:docPartObj>
      </w:sdtPr>
      <w:sdtEndPr>
        <w:rPr>
          <w:rFonts w:ascii="Century Gothic" w:hAnsi="Century Gothic"/>
        </w:rPr>
      </w:sdtEndPr>
      <w:sdtContent>
        <w:p w14:paraId="59C60574" w14:textId="42F99974" w:rsidR="00F91006" w:rsidRDefault="00571528" w:rsidP="0064519E">
          <w:pPr>
            <w:pStyle w:val="tableau"/>
            <w:ind w:left="-284"/>
          </w:pPr>
          <w:r>
            <w:rPr>
              <w:lang w:eastAsia="fr-FR"/>
            </w:rPr>
            <w:drawing>
              <wp:inline distT="0" distB="0" distL="0" distR="0" wp14:anchorId="69E3CAAA" wp14:editId="6F440378">
                <wp:extent cx="932442" cy="1449421"/>
                <wp:effectExtent l="0" t="0" r="127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EdA.png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8643" cy="14746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CCC2196" w14:textId="3ABC2FB9" w:rsidR="00F91006" w:rsidRDefault="00F91006" w:rsidP="0064519E">
          <w:pPr>
            <w:ind w:left="-284"/>
            <w:jc w:val="left"/>
          </w:pPr>
        </w:p>
        <w:tbl>
          <w:tblPr>
            <w:tblStyle w:val="Grilledutableau"/>
            <w:tblW w:w="999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106"/>
            <w:gridCol w:w="5886"/>
          </w:tblGrid>
          <w:tr w:rsidR="00B05214" w:rsidRPr="0064519E" w14:paraId="4EF1B9B0" w14:textId="77777777" w:rsidTr="0085195D">
            <w:trPr>
              <w:trHeight w:val="455"/>
            </w:trPr>
            <w:tc>
              <w:tcPr>
                <w:tcW w:w="4106" w:type="dxa"/>
                <w:vAlign w:val="center"/>
              </w:tcPr>
              <w:p w14:paraId="1BE7AA2E" w14:textId="209383A3" w:rsidR="00B05214" w:rsidRPr="0064519E" w:rsidRDefault="00B05214" w:rsidP="0026760B">
                <w:pPr>
                  <w:jc w:val="left"/>
                  <w:rPr>
                    <w:rFonts w:ascii="Century Gothic" w:hAnsi="Century Gothic"/>
                  </w:rPr>
                </w:pPr>
              </w:p>
            </w:tc>
            <w:tc>
              <w:tcPr>
                <w:tcW w:w="5886" w:type="dxa"/>
                <w:vAlign w:val="center"/>
              </w:tcPr>
              <w:p w14:paraId="0211A5BF" w14:textId="77777777" w:rsidR="00B05214" w:rsidRDefault="00B05214" w:rsidP="0064519E">
                <w:pPr>
                  <w:pStyle w:val="Rdacteur"/>
                  <w:jc w:val="left"/>
                  <w:rPr>
                    <w:rFonts w:ascii="Century Gothic" w:hAnsi="Century Gothic"/>
                    <w:lang w:val="en-US"/>
                  </w:rPr>
                </w:pPr>
              </w:p>
              <w:p w14:paraId="72864651" w14:textId="77777777" w:rsidR="006F1A8A" w:rsidRDefault="006F1A8A" w:rsidP="0064519E">
                <w:pPr>
                  <w:pStyle w:val="Rdacteur"/>
                  <w:jc w:val="left"/>
                  <w:rPr>
                    <w:rFonts w:ascii="Century Gothic" w:hAnsi="Century Gothic"/>
                    <w:lang w:val="en-US"/>
                  </w:rPr>
                </w:pPr>
              </w:p>
              <w:p w14:paraId="76A1D313" w14:textId="77777777" w:rsidR="006F1A8A" w:rsidRDefault="006F1A8A" w:rsidP="0064519E">
                <w:pPr>
                  <w:pStyle w:val="Rdacteur"/>
                  <w:jc w:val="left"/>
                  <w:rPr>
                    <w:rFonts w:ascii="Century Gothic" w:hAnsi="Century Gothic"/>
                    <w:lang w:val="en-US"/>
                  </w:rPr>
                </w:pPr>
              </w:p>
              <w:p w14:paraId="62D98C8C" w14:textId="244498AC" w:rsidR="006F1A8A" w:rsidRPr="0064519E" w:rsidRDefault="006F1A8A" w:rsidP="0064519E">
                <w:pPr>
                  <w:pStyle w:val="Rdacteur"/>
                  <w:jc w:val="left"/>
                  <w:rPr>
                    <w:rFonts w:ascii="Century Gothic" w:hAnsi="Century Gothic"/>
                    <w:lang w:val="en-US"/>
                  </w:rPr>
                </w:pPr>
              </w:p>
            </w:tc>
          </w:tr>
        </w:tbl>
        <w:p w14:paraId="486A2400" w14:textId="47AA5E75" w:rsidR="0043061A" w:rsidRPr="00E60456" w:rsidRDefault="0043061A" w:rsidP="0043061A">
          <w:pPr>
            <w:pStyle w:val="Corpsdetexte"/>
            <w:jc w:val="center"/>
            <w:rPr>
              <w:b/>
              <w:smallCaps/>
              <w:sz w:val="36"/>
              <w:szCs w:val="36"/>
            </w:rPr>
          </w:pPr>
          <w:r w:rsidRPr="00E60456">
            <w:rPr>
              <w:b/>
              <w:smallCaps/>
              <w:sz w:val="36"/>
              <w:szCs w:val="36"/>
            </w:rPr>
            <w:t>Cadre de réponse</w:t>
          </w:r>
        </w:p>
        <w:p w14:paraId="2AF3E347" w14:textId="77777777" w:rsidR="0043061A" w:rsidRPr="007F23FE" w:rsidRDefault="0043061A" w:rsidP="0043061A">
          <w:pPr>
            <w:rPr>
              <w:rFonts w:ascii="Century Gothic" w:hAnsi="Century Gothic"/>
              <w:sz w:val="16"/>
            </w:rPr>
          </w:pPr>
        </w:p>
        <w:p w14:paraId="3B56F5D0" w14:textId="77777777" w:rsidR="0051268F" w:rsidRDefault="0051268F" w:rsidP="0051268F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11" w:color="auto"/>
            </w:pBdr>
            <w:jc w:val="center"/>
            <w:rPr>
              <w:rFonts w:eastAsia="Calibri"/>
              <w:b/>
              <w:sz w:val="36"/>
              <w:szCs w:val="36"/>
            </w:rPr>
          </w:pPr>
          <w:r w:rsidRPr="00926F79">
            <w:rPr>
              <w:rFonts w:eastAsia="Calibri"/>
              <w:b/>
              <w:sz w:val="36"/>
              <w:szCs w:val="36"/>
            </w:rPr>
            <w:t>Système d’acquisition dynamique (SAD)</w:t>
          </w:r>
        </w:p>
        <w:p w14:paraId="1220FC70" w14:textId="77777777" w:rsidR="0051268F" w:rsidRPr="00926F79" w:rsidRDefault="0051268F" w:rsidP="0051268F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11" w:color="auto"/>
            </w:pBdr>
            <w:jc w:val="center"/>
            <w:rPr>
              <w:rFonts w:eastAsia="Calibri"/>
              <w:b/>
              <w:sz w:val="36"/>
              <w:szCs w:val="36"/>
            </w:rPr>
          </w:pPr>
        </w:p>
        <w:p w14:paraId="1681204B" w14:textId="7CF78549" w:rsidR="0051268F" w:rsidRPr="00F61C1A" w:rsidRDefault="00A67865" w:rsidP="0051268F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11" w:color="auto"/>
            </w:pBdr>
            <w:jc w:val="center"/>
            <w:rPr>
              <w:bCs/>
              <w:i/>
              <w:sz w:val="36"/>
            </w:rPr>
          </w:pPr>
          <w:bookmarkStart w:id="0" w:name="_Hlk201581903"/>
          <w:r>
            <w:rPr>
              <w:bCs/>
              <w:i/>
              <w:sz w:val="36"/>
            </w:rPr>
            <w:t>Acquisition</w:t>
          </w:r>
          <w:r w:rsidR="0051268F" w:rsidRPr="00F61C1A">
            <w:rPr>
              <w:bCs/>
              <w:i/>
              <w:sz w:val="36"/>
            </w:rPr>
            <w:t xml:space="preserve"> et Location de Solutions Frigorifiques : Chambres Froides, Conteneurs de Stockage et </w:t>
          </w:r>
          <w:proofErr w:type="spellStart"/>
          <w:r w:rsidR="0051268F" w:rsidRPr="00F61C1A">
            <w:rPr>
              <w:bCs/>
              <w:i/>
              <w:sz w:val="36"/>
            </w:rPr>
            <w:t>Reefers</w:t>
          </w:r>
          <w:proofErr w:type="spellEnd"/>
          <w:r w:rsidR="0051268F" w:rsidRPr="00F61C1A">
            <w:rPr>
              <w:bCs/>
              <w:i/>
              <w:sz w:val="36"/>
            </w:rPr>
            <w:t xml:space="preserve">, Neufs ou d’Occasion, Fixes </w:t>
          </w:r>
          <w:r>
            <w:rPr>
              <w:bCs/>
              <w:i/>
              <w:sz w:val="36"/>
            </w:rPr>
            <w:t>ou</w:t>
          </w:r>
          <w:r w:rsidR="0051268F" w:rsidRPr="00F61C1A">
            <w:rPr>
              <w:bCs/>
              <w:i/>
              <w:sz w:val="36"/>
            </w:rPr>
            <w:t xml:space="preserve"> Mobiles</w:t>
          </w:r>
        </w:p>
        <w:bookmarkEnd w:id="0"/>
        <w:p w14:paraId="0CD0C7B1" w14:textId="77777777" w:rsidR="007F23FE" w:rsidRDefault="007F23FE" w:rsidP="0043061A">
          <w:pPr>
            <w:pStyle w:val="Corpsdetexte"/>
            <w:jc w:val="center"/>
            <w:rPr>
              <w:rFonts w:ascii="Century Gothic" w:hAnsi="Century Gothic"/>
              <w:b/>
              <w:i/>
              <w:sz w:val="36"/>
            </w:rPr>
          </w:pPr>
        </w:p>
        <w:p w14:paraId="7DF45D31" w14:textId="408E32CE" w:rsidR="0043061A" w:rsidRPr="00E60456" w:rsidRDefault="0043061A" w:rsidP="0043061A">
          <w:pPr>
            <w:pStyle w:val="Corpsdetexte"/>
            <w:jc w:val="center"/>
            <w:rPr>
              <w:i/>
              <w:sz w:val="28"/>
              <w:szCs w:val="28"/>
            </w:rPr>
          </w:pPr>
          <w:r w:rsidRPr="00E60456">
            <w:rPr>
              <w:i/>
              <w:sz w:val="28"/>
              <w:szCs w:val="28"/>
            </w:rPr>
            <w:t>DCE n° 2025/0</w:t>
          </w:r>
          <w:r w:rsidR="0051268F">
            <w:rPr>
              <w:i/>
              <w:sz w:val="28"/>
              <w:szCs w:val="28"/>
            </w:rPr>
            <w:t>642</w:t>
          </w:r>
          <w:r w:rsidRPr="00E60456">
            <w:rPr>
              <w:i/>
              <w:sz w:val="28"/>
              <w:szCs w:val="28"/>
            </w:rPr>
            <w:t>/EDA-DA</w:t>
          </w:r>
        </w:p>
        <w:p w14:paraId="2A6D852F" w14:textId="77777777" w:rsidR="00D1386C" w:rsidRPr="0064519E" w:rsidRDefault="00D1386C">
          <w:pPr>
            <w:rPr>
              <w:rFonts w:ascii="Century Gothic" w:hAnsi="Century Gothic"/>
              <w:lang w:val="en-US"/>
            </w:rPr>
          </w:pPr>
        </w:p>
        <w:p w14:paraId="469B134C" w14:textId="77777777" w:rsidR="00D1386C" w:rsidRPr="0064519E" w:rsidRDefault="00D1386C">
          <w:pPr>
            <w:rPr>
              <w:rFonts w:ascii="Century Gothic" w:hAnsi="Century Gothic"/>
              <w:lang w:val="en-US"/>
            </w:rPr>
          </w:pPr>
        </w:p>
        <w:p w14:paraId="25028A1E" w14:textId="6ECEE869" w:rsidR="00D059A0" w:rsidRPr="0064519E" w:rsidRDefault="00D059A0">
          <w:pPr>
            <w:jc w:val="left"/>
            <w:rPr>
              <w:rFonts w:ascii="Century Gothic" w:hAnsi="Century Gothic"/>
              <w:lang w:val="en-US"/>
            </w:rPr>
          </w:pPr>
        </w:p>
        <w:p w14:paraId="63B7CC42" w14:textId="77777777" w:rsidR="00A708D8" w:rsidRPr="0064519E" w:rsidRDefault="008A10DC" w:rsidP="00A708D8">
          <w:pPr>
            <w:rPr>
              <w:rFonts w:ascii="Century Gothic" w:hAnsi="Century Gothic"/>
            </w:rPr>
          </w:pPr>
        </w:p>
      </w:sdtContent>
    </w:sdt>
    <w:p w14:paraId="714B2704" w14:textId="18EAA323" w:rsidR="00A96B26" w:rsidRPr="0064519E" w:rsidRDefault="00A96B26" w:rsidP="009D6B97">
      <w:pPr>
        <w:rPr>
          <w:rFonts w:ascii="Century Gothic" w:hAnsi="Century Gothic"/>
          <w:color w:val="767CC3" w:themeColor="text2" w:themeTint="80"/>
          <w:sz w:val="24"/>
        </w:rPr>
      </w:pPr>
      <w:r w:rsidRPr="0064519E">
        <w:rPr>
          <w:rFonts w:ascii="Century Gothic" w:hAnsi="Century Gothic"/>
          <w:color w:val="767CC3" w:themeColor="text2" w:themeTint="80"/>
          <w:sz w:val="48"/>
          <w:szCs w:val="48"/>
        </w:rPr>
        <w:t>SOMMAIRE</w:t>
      </w:r>
    </w:p>
    <w:p w14:paraId="04406A61" w14:textId="0BF99476" w:rsidR="00E917E2" w:rsidRDefault="00D91D0B">
      <w:pPr>
        <w:pStyle w:val="TM1"/>
        <w:rPr>
          <w:rFonts w:eastAsiaTheme="minorEastAsia"/>
          <w:b w:val="0"/>
          <w:bCs w:val="0"/>
          <w:caps w:val="0"/>
          <w:noProof/>
          <w:kern w:val="0"/>
          <w:lang w:eastAsia="fr-FR"/>
          <w14:ligatures w14:val="none"/>
        </w:rPr>
      </w:pPr>
      <w:r w:rsidRPr="0064519E">
        <w:rPr>
          <w:rFonts w:ascii="Century Gothic" w:hAnsi="Century Gothic"/>
          <w:b w:val="0"/>
          <w:bCs w:val="0"/>
          <w:caps w:val="0"/>
        </w:rPr>
        <w:fldChar w:fldCharType="begin"/>
      </w:r>
      <w:r w:rsidRPr="0064519E">
        <w:rPr>
          <w:rFonts w:ascii="Century Gothic" w:hAnsi="Century Gothic"/>
        </w:rPr>
        <w:instrText xml:space="preserve"> TOC \o "1-2" \h \z \u </w:instrText>
      </w:r>
      <w:r w:rsidRPr="0064519E">
        <w:rPr>
          <w:rFonts w:ascii="Century Gothic" w:hAnsi="Century Gothic"/>
          <w:b w:val="0"/>
          <w:bCs w:val="0"/>
          <w:caps w:val="0"/>
        </w:rPr>
        <w:fldChar w:fldCharType="separate"/>
      </w:r>
      <w:hyperlink w:anchor="_Toc201594158" w:history="1">
        <w:r w:rsidR="00E917E2" w:rsidRPr="008674F8">
          <w:rPr>
            <w:rStyle w:val="Lienhypertexte"/>
            <w:rFonts w:ascii="Century Gothic" w:hAnsi="Century Gothic"/>
            <w:noProof/>
          </w:rPr>
          <w:t>Introduction</w:t>
        </w:r>
        <w:r w:rsidR="00E917E2">
          <w:rPr>
            <w:noProof/>
            <w:webHidden/>
          </w:rPr>
          <w:tab/>
        </w:r>
        <w:r w:rsidR="00E917E2">
          <w:rPr>
            <w:noProof/>
            <w:webHidden/>
          </w:rPr>
          <w:fldChar w:fldCharType="begin"/>
        </w:r>
        <w:r w:rsidR="00E917E2">
          <w:rPr>
            <w:noProof/>
            <w:webHidden/>
          </w:rPr>
          <w:instrText xml:space="preserve"> PAGEREF _Toc201594158 \h </w:instrText>
        </w:r>
        <w:r w:rsidR="00E917E2">
          <w:rPr>
            <w:noProof/>
            <w:webHidden/>
          </w:rPr>
        </w:r>
        <w:r w:rsidR="00E917E2">
          <w:rPr>
            <w:noProof/>
            <w:webHidden/>
          </w:rPr>
          <w:fldChar w:fldCharType="separate"/>
        </w:r>
        <w:r w:rsidR="00E917E2">
          <w:rPr>
            <w:noProof/>
            <w:webHidden/>
          </w:rPr>
          <w:t>3</w:t>
        </w:r>
        <w:r w:rsidR="00E917E2">
          <w:rPr>
            <w:noProof/>
            <w:webHidden/>
          </w:rPr>
          <w:fldChar w:fldCharType="end"/>
        </w:r>
      </w:hyperlink>
    </w:p>
    <w:p w14:paraId="363DC42F" w14:textId="6D16D00B" w:rsidR="00E917E2" w:rsidRDefault="008A10DC">
      <w:pPr>
        <w:pStyle w:val="TM1"/>
        <w:rPr>
          <w:rFonts w:eastAsiaTheme="minorEastAsia"/>
          <w:b w:val="0"/>
          <w:bCs w:val="0"/>
          <w:caps w:val="0"/>
          <w:noProof/>
          <w:kern w:val="0"/>
          <w:lang w:eastAsia="fr-FR"/>
          <w14:ligatures w14:val="none"/>
        </w:rPr>
      </w:pPr>
      <w:hyperlink w:anchor="_Toc201594159" w:history="1">
        <w:r w:rsidR="00E917E2" w:rsidRPr="008674F8">
          <w:rPr>
            <w:rStyle w:val="Lienhypertexte"/>
            <w:rFonts w:ascii="Century Gothic" w:hAnsi="Century Gothic"/>
            <w:noProof/>
          </w:rPr>
          <w:t>1</w:t>
        </w:r>
        <w:r w:rsidR="00E917E2">
          <w:rPr>
            <w:rFonts w:eastAsiaTheme="minorEastAsia"/>
            <w:b w:val="0"/>
            <w:bCs w:val="0"/>
            <w:caps w:val="0"/>
            <w:noProof/>
            <w:kern w:val="0"/>
            <w:lang w:eastAsia="fr-FR"/>
            <w14:ligatures w14:val="none"/>
          </w:rPr>
          <w:tab/>
        </w:r>
        <w:r w:rsidR="00E917E2" w:rsidRPr="008674F8">
          <w:rPr>
            <w:rStyle w:val="Lienhypertexte"/>
            <w:rFonts w:ascii="Century Gothic" w:hAnsi="Century Gothic"/>
            <w:noProof/>
          </w:rPr>
          <w:t>MOYENS TECHNIQUES DU CANDIDAT (50 points)</w:t>
        </w:r>
        <w:r w:rsidR="00E917E2">
          <w:rPr>
            <w:noProof/>
            <w:webHidden/>
          </w:rPr>
          <w:tab/>
        </w:r>
        <w:r w:rsidR="00E917E2">
          <w:rPr>
            <w:noProof/>
            <w:webHidden/>
          </w:rPr>
          <w:fldChar w:fldCharType="begin"/>
        </w:r>
        <w:r w:rsidR="00E917E2">
          <w:rPr>
            <w:noProof/>
            <w:webHidden/>
          </w:rPr>
          <w:instrText xml:space="preserve"> PAGEREF _Toc201594159 \h </w:instrText>
        </w:r>
        <w:r w:rsidR="00E917E2">
          <w:rPr>
            <w:noProof/>
            <w:webHidden/>
          </w:rPr>
        </w:r>
        <w:r w:rsidR="00E917E2">
          <w:rPr>
            <w:noProof/>
            <w:webHidden/>
          </w:rPr>
          <w:fldChar w:fldCharType="separate"/>
        </w:r>
        <w:r w:rsidR="00E917E2">
          <w:rPr>
            <w:noProof/>
            <w:webHidden/>
          </w:rPr>
          <w:t>4</w:t>
        </w:r>
        <w:r w:rsidR="00E917E2">
          <w:rPr>
            <w:noProof/>
            <w:webHidden/>
          </w:rPr>
          <w:fldChar w:fldCharType="end"/>
        </w:r>
      </w:hyperlink>
    </w:p>
    <w:p w14:paraId="7A9C1AB5" w14:textId="6B1EEC53" w:rsidR="00E917E2" w:rsidRDefault="008A10DC">
      <w:pPr>
        <w:pStyle w:val="TM1"/>
        <w:rPr>
          <w:rFonts w:eastAsiaTheme="minorEastAsia"/>
          <w:b w:val="0"/>
          <w:bCs w:val="0"/>
          <w:caps w:val="0"/>
          <w:noProof/>
          <w:kern w:val="0"/>
          <w:lang w:eastAsia="fr-FR"/>
          <w14:ligatures w14:val="none"/>
        </w:rPr>
      </w:pPr>
      <w:hyperlink w:anchor="_Toc201594160" w:history="1">
        <w:r w:rsidR="00E917E2" w:rsidRPr="008674F8">
          <w:rPr>
            <w:rStyle w:val="Lienhypertexte"/>
            <w:rFonts w:ascii="Century Gothic" w:hAnsi="Century Gothic"/>
            <w:noProof/>
          </w:rPr>
          <w:t>2</w:t>
        </w:r>
        <w:r w:rsidR="00E917E2">
          <w:rPr>
            <w:rFonts w:eastAsiaTheme="minorEastAsia"/>
            <w:b w:val="0"/>
            <w:bCs w:val="0"/>
            <w:caps w:val="0"/>
            <w:noProof/>
            <w:kern w:val="0"/>
            <w:lang w:eastAsia="fr-FR"/>
            <w14:ligatures w14:val="none"/>
          </w:rPr>
          <w:tab/>
        </w:r>
        <w:r w:rsidR="00E917E2" w:rsidRPr="008674F8">
          <w:rPr>
            <w:rStyle w:val="Lienhypertexte"/>
            <w:rFonts w:ascii="Century Gothic" w:hAnsi="Century Gothic"/>
            <w:noProof/>
          </w:rPr>
          <w:t>DELAIS MOYENS DE FOURNITURES DES ARTICLES ET EQUIPEMENTS  (25 points)</w:t>
        </w:r>
        <w:r w:rsidR="00E917E2">
          <w:rPr>
            <w:noProof/>
            <w:webHidden/>
          </w:rPr>
          <w:tab/>
        </w:r>
        <w:r w:rsidR="00E917E2">
          <w:rPr>
            <w:noProof/>
            <w:webHidden/>
          </w:rPr>
          <w:fldChar w:fldCharType="begin"/>
        </w:r>
        <w:r w:rsidR="00E917E2">
          <w:rPr>
            <w:noProof/>
            <w:webHidden/>
          </w:rPr>
          <w:instrText xml:space="preserve"> PAGEREF _Toc201594160 \h </w:instrText>
        </w:r>
        <w:r w:rsidR="00E917E2">
          <w:rPr>
            <w:noProof/>
            <w:webHidden/>
          </w:rPr>
        </w:r>
        <w:r w:rsidR="00E917E2">
          <w:rPr>
            <w:noProof/>
            <w:webHidden/>
          </w:rPr>
          <w:fldChar w:fldCharType="separate"/>
        </w:r>
        <w:r w:rsidR="00E917E2">
          <w:rPr>
            <w:noProof/>
            <w:webHidden/>
          </w:rPr>
          <w:t>5</w:t>
        </w:r>
        <w:r w:rsidR="00E917E2">
          <w:rPr>
            <w:noProof/>
            <w:webHidden/>
          </w:rPr>
          <w:fldChar w:fldCharType="end"/>
        </w:r>
      </w:hyperlink>
    </w:p>
    <w:p w14:paraId="51B99793" w14:textId="0D19AEC6" w:rsidR="00E917E2" w:rsidRDefault="008A10DC">
      <w:pPr>
        <w:pStyle w:val="TM1"/>
        <w:rPr>
          <w:rFonts w:eastAsiaTheme="minorEastAsia"/>
          <w:b w:val="0"/>
          <w:bCs w:val="0"/>
          <w:caps w:val="0"/>
          <w:noProof/>
          <w:kern w:val="0"/>
          <w:lang w:eastAsia="fr-FR"/>
          <w14:ligatures w14:val="none"/>
        </w:rPr>
      </w:pPr>
      <w:hyperlink w:anchor="_Toc201594161" w:history="1">
        <w:r w:rsidR="00E917E2" w:rsidRPr="008674F8">
          <w:rPr>
            <w:rStyle w:val="Lienhypertexte"/>
            <w:rFonts w:ascii="Century Gothic" w:hAnsi="Century Gothic"/>
            <w:noProof/>
          </w:rPr>
          <w:t>3</w:t>
        </w:r>
        <w:r w:rsidR="00E917E2">
          <w:rPr>
            <w:rFonts w:eastAsiaTheme="minorEastAsia"/>
            <w:b w:val="0"/>
            <w:bCs w:val="0"/>
            <w:caps w:val="0"/>
            <w:noProof/>
            <w:kern w:val="0"/>
            <w:lang w:eastAsia="fr-FR"/>
            <w14:ligatures w14:val="none"/>
          </w:rPr>
          <w:tab/>
        </w:r>
        <w:r w:rsidR="00E917E2" w:rsidRPr="008674F8">
          <w:rPr>
            <w:rStyle w:val="Lienhypertexte"/>
            <w:rFonts w:ascii="Century Gothic" w:hAnsi="Century Gothic"/>
            <w:noProof/>
          </w:rPr>
          <w:t>experience et references du fournisseur (10 points)</w:t>
        </w:r>
        <w:r w:rsidR="00E917E2">
          <w:rPr>
            <w:noProof/>
            <w:webHidden/>
          </w:rPr>
          <w:tab/>
        </w:r>
        <w:r w:rsidR="00E917E2">
          <w:rPr>
            <w:noProof/>
            <w:webHidden/>
          </w:rPr>
          <w:fldChar w:fldCharType="begin"/>
        </w:r>
        <w:r w:rsidR="00E917E2">
          <w:rPr>
            <w:noProof/>
            <w:webHidden/>
          </w:rPr>
          <w:instrText xml:space="preserve"> PAGEREF _Toc201594161 \h </w:instrText>
        </w:r>
        <w:r w:rsidR="00E917E2">
          <w:rPr>
            <w:noProof/>
            <w:webHidden/>
          </w:rPr>
        </w:r>
        <w:r w:rsidR="00E917E2">
          <w:rPr>
            <w:noProof/>
            <w:webHidden/>
          </w:rPr>
          <w:fldChar w:fldCharType="separate"/>
        </w:r>
        <w:r w:rsidR="00E917E2">
          <w:rPr>
            <w:noProof/>
            <w:webHidden/>
          </w:rPr>
          <w:t>6</w:t>
        </w:r>
        <w:r w:rsidR="00E917E2">
          <w:rPr>
            <w:noProof/>
            <w:webHidden/>
          </w:rPr>
          <w:fldChar w:fldCharType="end"/>
        </w:r>
      </w:hyperlink>
    </w:p>
    <w:p w14:paraId="57F8CC20" w14:textId="6F0C3D44" w:rsidR="00E917E2" w:rsidRDefault="008A10DC">
      <w:pPr>
        <w:pStyle w:val="TM1"/>
        <w:rPr>
          <w:rFonts w:eastAsiaTheme="minorEastAsia"/>
          <w:b w:val="0"/>
          <w:bCs w:val="0"/>
          <w:caps w:val="0"/>
          <w:noProof/>
          <w:kern w:val="0"/>
          <w:lang w:eastAsia="fr-FR"/>
          <w14:ligatures w14:val="none"/>
        </w:rPr>
      </w:pPr>
      <w:hyperlink w:anchor="_Toc201594162" w:history="1">
        <w:r w:rsidR="00E917E2" w:rsidRPr="008674F8">
          <w:rPr>
            <w:rStyle w:val="Lienhypertexte"/>
            <w:rFonts w:ascii="Century Gothic" w:hAnsi="Century Gothic"/>
            <w:noProof/>
          </w:rPr>
          <w:t>4</w:t>
        </w:r>
        <w:r w:rsidR="00E917E2">
          <w:rPr>
            <w:rFonts w:eastAsiaTheme="minorEastAsia"/>
            <w:b w:val="0"/>
            <w:bCs w:val="0"/>
            <w:caps w:val="0"/>
            <w:noProof/>
            <w:kern w:val="0"/>
            <w:lang w:eastAsia="fr-FR"/>
            <w14:ligatures w14:val="none"/>
          </w:rPr>
          <w:tab/>
        </w:r>
        <w:r w:rsidR="00E917E2" w:rsidRPr="008674F8">
          <w:rPr>
            <w:rStyle w:val="Lienhypertexte"/>
            <w:rFonts w:ascii="Century Gothic" w:hAnsi="Century Gothic"/>
            <w:noProof/>
          </w:rPr>
          <w:t>Mesures environnementales et societales (15 points)</w:t>
        </w:r>
        <w:r w:rsidR="00E917E2">
          <w:rPr>
            <w:noProof/>
            <w:webHidden/>
          </w:rPr>
          <w:tab/>
        </w:r>
        <w:r w:rsidR="00E917E2">
          <w:rPr>
            <w:noProof/>
            <w:webHidden/>
          </w:rPr>
          <w:fldChar w:fldCharType="begin"/>
        </w:r>
        <w:r w:rsidR="00E917E2">
          <w:rPr>
            <w:noProof/>
            <w:webHidden/>
          </w:rPr>
          <w:instrText xml:space="preserve"> PAGEREF _Toc201594162 \h </w:instrText>
        </w:r>
        <w:r w:rsidR="00E917E2">
          <w:rPr>
            <w:noProof/>
            <w:webHidden/>
          </w:rPr>
        </w:r>
        <w:r w:rsidR="00E917E2">
          <w:rPr>
            <w:noProof/>
            <w:webHidden/>
          </w:rPr>
          <w:fldChar w:fldCharType="separate"/>
        </w:r>
        <w:r w:rsidR="00E917E2">
          <w:rPr>
            <w:noProof/>
            <w:webHidden/>
          </w:rPr>
          <w:t>7</w:t>
        </w:r>
        <w:r w:rsidR="00E917E2">
          <w:rPr>
            <w:noProof/>
            <w:webHidden/>
          </w:rPr>
          <w:fldChar w:fldCharType="end"/>
        </w:r>
      </w:hyperlink>
    </w:p>
    <w:p w14:paraId="4BD8D5FD" w14:textId="2559E204" w:rsidR="00D64E20" w:rsidRPr="0064519E" w:rsidRDefault="00D91D0B" w:rsidP="00F91006">
      <w:pPr>
        <w:jc w:val="left"/>
        <w:rPr>
          <w:rFonts w:ascii="Century Gothic" w:hAnsi="Century Gothic"/>
        </w:rPr>
      </w:pPr>
      <w:r w:rsidRPr="0064519E">
        <w:rPr>
          <w:rFonts w:ascii="Century Gothic" w:hAnsi="Century Gothic"/>
          <w:b/>
          <w:bCs/>
          <w:caps/>
          <w:szCs w:val="22"/>
        </w:rPr>
        <w:fldChar w:fldCharType="end"/>
      </w:r>
    </w:p>
    <w:p w14:paraId="589634B5" w14:textId="77777777" w:rsidR="00D64E20" w:rsidRPr="0064519E" w:rsidRDefault="00D64E20">
      <w:pPr>
        <w:jc w:val="left"/>
        <w:rPr>
          <w:rFonts w:ascii="Century Gothic" w:hAnsi="Century Gothic"/>
        </w:rPr>
      </w:pPr>
      <w:r w:rsidRPr="0064519E">
        <w:rPr>
          <w:rFonts w:ascii="Century Gothic" w:hAnsi="Century Gothic"/>
        </w:rPr>
        <w:br w:type="page"/>
      </w:r>
    </w:p>
    <w:p w14:paraId="45491663" w14:textId="7F1917BD" w:rsidR="00DA29E8" w:rsidRPr="0064519E" w:rsidRDefault="00AE391B" w:rsidP="00021E72">
      <w:pPr>
        <w:pStyle w:val="Titre1"/>
        <w:numPr>
          <w:ilvl w:val="0"/>
          <w:numId w:val="0"/>
        </w:numPr>
        <w:ind w:left="432" w:hanging="432"/>
        <w:rPr>
          <w:rFonts w:ascii="Century Gothic" w:hAnsi="Century Gothic"/>
          <w:noProof/>
          <w:color w:val="FFFFFF" w:themeColor="background1"/>
        </w:rPr>
      </w:pPr>
      <w:bookmarkStart w:id="1" w:name="_Toc201594158"/>
      <w:r w:rsidRPr="0064519E">
        <w:rPr>
          <w:rFonts w:ascii="Century Gothic" w:hAnsi="Century Gothic"/>
          <w:noProof/>
          <w:color w:val="FFFFFF" w:themeColor="background1"/>
        </w:rPr>
        <w:lastRenderedPageBreak/>
        <w:t>Introduction</w:t>
      </w:r>
      <w:bookmarkEnd w:id="1"/>
    </w:p>
    <w:p w14:paraId="4440D342" w14:textId="7A624504" w:rsidR="003A2030" w:rsidRPr="003A2030" w:rsidRDefault="00470CDE" w:rsidP="003A2030">
      <w:pPr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t xml:space="preserve">Le présent SAD </w:t>
      </w:r>
      <w:r w:rsidR="003A2030">
        <w:rPr>
          <w:rFonts w:ascii="Century Gothic" w:hAnsi="Century Gothic"/>
          <w:noProof/>
        </w:rPr>
        <w:t>« Solutions frigorifique</w:t>
      </w:r>
      <w:r w:rsidR="00BB5BB8">
        <w:rPr>
          <w:rFonts w:ascii="Century Gothic" w:hAnsi="Century Gothic"/>
          <w:noProof/>
        </w:rPr>
        <w:t>s</w:t>
      </w:r>
      <w:r w:rsidR="003A2030">
        <w:rPr>
          <w:rFonts w:ascii="Century Gothic" w:hAnsi="Century Gothic"/>
          <w:noProof/>
        </w:rPr>
        <w:t> »</w:t>
      </w:r>
      <w:r w:rsidR="00D378DF">
        <w:rPr>
          <w:rFonts w:ascii="Century Gothic" w:hAnsi="Century Gothic"/>
          <w:noProof/>
        </w:rPr>
        <w:t xml:space="preserve"> </w:t>
      </w:r>
      <w:r>
        <w:rPr>
          <w:rFonts w:ascii="Century Gothic" w:hAnsi="Century Gothic"/>
          <w:noProof/>
        </w:rPr>
        <w:t xml:space="preserve">a pour objet </w:t>
      </w:r>
      <w:bookmarkStart w:id="2" w:name="_Hlk201591612"/>
      <w:r w:rsidR="003A2030" w:rsidRPr="003A2030">
        <w:rPr>
          <w:rFonts w:ascii="Century Gothic" w:hAnsi="Century Gothic"/>
          <w:noProof/>
        </w:rPr>
        <w:t xml:space="preserve">la fourniture en achat </w:t>
      </w:r>
      <w:r w:rsidR="003A2030">
        <w:rPr>
          <w:rFonts w:ascii="Century Gothic" w:hAnsi="Century Gothic"/>
          <w:noProof/>
        </w:rPr>
        <w:t>et/</w:t>
      </w:r>
      <w:r w:rsidR="003A2030" w:rsidRPr="003A2030">
        <w:rPr>
          <w:rFonts w:ascii="Century Gothic" w:hAnsi="Century Gothic"/>
          <w:noProof/>
        </w:rPr>
        <w:t xml:space="preserve">ou </w:t>
      </w:r>
      <w:r w:rsidR="003A2030">
        <w:rPr>
          <w:rFonts w:ascii="Century Gothic" w:hAnsi="Century Gothic"/>
          <w:noProof/>
        </w:rPr>
        <w:t xml:space="preserve">la </w:t>
      </w:r>
      <w:r w:rsidR="003A2030" w:rsidRPr="003A2030">
        <w:rPr>
          <w:rFonts w:ascii="Century Gothic" w:hAnsi="Century Gothic"/>
          <w:noProof/>
        </w:rPr>
        <w:t xml:space="preserve">location </w:t>
      </w:r>
      <w:r w:rsidR="003A2030">
        <w:rPr>
          <w:rFonts w:ascii="Century Gothic" w:hAnsi="Century Gothic"/>
          <w:noProof/>
        </w:rPr>
        <w:t xml:space="preserve">d’équipements et fournitures </w:t>
      </w:r>
      <w:r w:rsidR="003A2030" w:rsidRPr="003A2030">
        <w:rPr>
          <w:rFonts w:ascii="Century Gothic" w:hAnsi="Century Gothic"/>
          <w:noProof/>
        </w:rPr>
        <w:t xml:space="preserve">de </w:t>
      </w:r>
      <w:r w:rsidR="00BB5BB8">
        <w:rPr>
          <w:rFonts w:ascii="Century Gothic" w:hAnsi="Century Gothic"/>
          <w:noProof/>
        </w:rPr>
        <w:t>s</w:t>
      </w:r>
      <w:r w:rsidR="003A2030" w:rsidRPr="003A2030">
        <w:rPr>
          <w:rFonts w:ascii="Century Gothic" w:hAnsi="Century Gothic"/>
          <w:noProof/>
        </w:rPr>
        <w:t xml:space="preserve">olutions </w:t>
      </w:r>
      <w:r w:rsidR="00BB5BB8">
        <w:rPr>
          <w:rFonts w:ascii="Century Gothic" w:hAnsi="Century Gothic"/>
          <w:noProof/>
        </w:rPr>
        <w:t>f</w:t>
      </w:r>
      <w:r w:rsidR="003A2030" w:rsidRPr="003A2030">
        <w:rPr>
          <w:rFonts w:ascii="Century Gothic" w:hAnsi="Century Gothic"/>
          <w:noProof/>
        </w:rPr>
        <w:t xml:space="preserve">rigorifiques de type </w:t>
      </w:r>
      <w:r w:rsidR="00BB5BB8">
        <w:rPr>
          <w:rFonts w:ascii="Century Gothic" w:hAnsi="Century Gothic"/>
          <w:noProof/>
        </w:rPr>
        <w:t>c</w:t>
      </w:r>
      <w:r w:rsidR="003A2030" w:rsidRPr="003A2030">
        <w:rPr>
          <w:rFonts w:ascii="Century Gothic" w:hAnsi="Century Gothic"/>
          <w:noProof/>
        </w:rPr>
        <w:t xml:space="preserve">hambres froides, </w:t>
      </w:r>
      <w:r w:rsidR="00BB5BB8">
        <w:rPr>
          <w:rFonts w:ascii="Century Gothic" w:hAnsi="Century Gothic"/>
          <w:noProof/>
        </w:rPr>
        <w:t>c</w:t>
      </w:r>
      <w:r w:rsidR="003A2030" w:rsidRPr="003A2030">
        <w:rPr>
          <w:rFonts w:ascii="Century Gothic" w:hAnsi="Century Gothic"/>
          <w:noProof/>
        </w:rPr>
        <w:t xml:space="preserve">onteneurs de </w:t>
      </w:r>
      <w:r w:rsidR="00BB5BB8">
        <w:rPr>
          <w:rFonts w:ascii="Century Gothic" w:hAnsi="Century Gothic"/>
          <w:noProof/>
        </w:rPr>
        <w:t>s</w:t>
      </w:r>
      <w:r w:rsidR="003A2030" w:rsidRPr="003A2030">
        <w:rPr>
          <w:rFonts w:ascii="Century Gothic" w:hAnsi="Century Gothic"/>
          <w:noProof/>
        </w:rPr>
        <w:t xml:space="preserve">tockage et </w:t>
      </w:r>
      <w:r w:rsidR="00BB5BB8">
        <w:rPr>
          <w:rFonts w:ascii="Century Gothic" w:hAnsi="Century Gothic"/>
          <w:noProof/>
        </w:rPr>
        <w:t>r</w:t>
      </w:r>
      <w:r w:rsidR="003A2030" w:rsidRPr="003A2030">
        <w:rPr>
          <w:rFonts w:ascii="Century Gothic" w:hAnsi="Century Gothic"/>
          <w:noProof/>
        </w:rPr>
        <w:t xml:space="preserve">eefers, </w:t>
      </w:r>
      <w:r w:rsidR="00BB5BB8">
        <w:rPr>
          <w:rFonts w:ascii="Century Gothic" w:hAnsi="Century Gothic"/>
          <w:noProof/>
        </w:rPr>
        <w:t>n</w:t>
      </w:r>
      <w:r w:rsidR="003A2030" w:rsidRPr="003A2030">
        <w:rPr>
          <w:rFonts w:ascii="Century Gothic" w:hAnsi="Century Gothic"/>
          <w:noProof/>
        </w:rPr>
        <w:t>eufs ou d’</w:t>
      </w:r>
      <w:r w:rsidR="00BB5BB8">
        <w:rPr>
          <w:rFonts w:ascii="Century Gothic" w:hAnsi="Century Gothic"/>
          <w:noProof/>
        </w:rPr>
        <w:t>o</w:t>
      </w:r>
      <w:r w:rsidR="003A2030" w:rsidRPr="003A2030">
        <w:rPr>
          <w:rFonts w:ascii="Century Gothic" w:hAnsi="Century Gothic"/>
          <w:noProof/>
        </w:rPr>
        <w:t xml:space="preserve">ccasion, </w:t>
      </w:r>
      <w:r w:rsidR="00BB5BB8">
        <w:rPr>
          <w:rFonts w:ascii="Century Gothic" w:hAnsi="Century Gothic"/>
          <w:noProof/>
        </w:rPr>
        <w:t>f</w:t>
      </w:r>
      <w:r w:rsidR="003A2030" w:rsidRPr="003A2030">
        <w:rPr>
          <w:rFonts w:ascii="Century Gothic" w:hAnsi="Century Gothic"/>
          <w:noProof/>
        </w:rPr>
        <w:t xml:space="preserve">ixes et </w:t>
      </w:r>
      <w:r w:rsidR="00BB5BB8">
        <w:rPr>
          <w:rFonts w:ascii="Century Gothic" w:hAnsi="Century Gothic"/>
          <w:noProof/>
        </w:rPr>
        <w:t>m</w:t>
      </w:r>
      <w:r w:rsidR="003A2030" w:rsidRPr="003A2030">
        <w:rPr>
          <w:rFonts w:ascii="Century Gothic" w:hAnsi="Century Gothic"/>
          <w:noProof/>
        </w:rPr>
        <w:t>obiles</w:t>
      </w:r>
      <w:bookmarkEnd w:id="2"/>
      <w:r w:rsidR="003A2030" w:rsidRPr="003A2030">
        <w:rPr>
          <w:rFonts w:ascii="Century Gothic" w:hAnsi="Century Gothic"/>
          <w:noProof/>
        </w:rPr>
        <w:t xml:space="preserve">.  </w:t>
      </w:r>
    </w:p>
    <w:p w14:paraId="732E044A" w14:textId="6890036F" w:rsidR="00AE391B" w:rsidRPr="0064519E" w:rsidRDefault="00470CDE" w:rsidP="00AE391B">
      <w:pPr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t>Ce</w:t>
      </w:r>
      <w:r w:rsidR="00AE391B" w:rsidRPr="0064519E">
        <w:rPr>
          <w:rFonts w:ascii="Century Gothic" w:hAnsi="Century Gothic"/>
          <w:noProof/>
        </w:rPr>
        <w:t xml:space="preserve"> document est la structure de réponse </w:t>
      </w:r>
      <w:r>
        <w:rPr>
          <w:rFonts w:ascii="Century Gothic" w:hAnsi="Century Gothic"/>
          <w:noProof/>
        </w:rPr>
        <w:t xml:space="preserve">au SAD </w:t>
      </w:r>
      <w:r w:rsidR="00AE391B" w:rsidRPr="0064519E">
        <w:rPr>
          <w:rFonts w:ascii="Century Gothic" w:hAnsi="Century Gothic"/>
          <w:noProof/>
        </w:rPr>
        <w:t xml:space="preserve">que le candidat doit respecter pour exposer </w:t>
      </w:r>
      <w:r w:rsidR="00C17621" w:rsidRPr="0064519E">
        <w:rPr>
          <w:rFonts w:ascii="Century Gothic" w:hAnsi="Century Gothic"/>
          <w:noProof/>
        </w:rPr>
        <w:t xml:space="preserve">sa candidature et </w:t>
      </w:r>
      <w:r>
        <w:rPr>
          <w:rFonts w:ascii="Century Gothic" w:hAnsi="Century Gothic"/>
          <w:noProof/>
        </w:rPr>
        <w:t>s</w:t>
      </w:r>
      <w:r w:rsidR="00C17621" w:rsidRPr="0064519E">
        <w:rPr>
          <w:rFonts w:ascii="Century Gothic" w:hAnsi="Century Gothic"/>
          <w:noProof/>
        </w:rPr>
        <w:t>es aptitudes professionnelles</w:t>
      </w:r>
      <w:r w:rsidR="00AE391B" w:rsidRPr="0064519E">
        <w:rPr>
          <w:rFonts w:ascii="Century Gothic" w:hAnsi="Century Gothic"/>
          <w:noProof/>
        </w:rPr>
        <w:t xml:space="preserve"> </w:t>
      </w:r>
    </w:p>
    <w:p w14:paraId="693C9C24" w14:textId="036EED1F" w:rsidR="00FF13C5" w:rsidRPr="0064519E" w:rsidRDefault="00AE391B" w:rsidP="00AE391B">
      <w:pPr>
        <w:rPr>
          <w:rFonts w:ascii="Century Gothic" w:hAnsi="Century Gothic"/>
          <w:noProof/>
        </w:rPr>
      </w:pPr>
      <w:r w:rsidRPr="0064519E">
        <w:rPr>
          <w:rFonts w:ascii="Century Gothic" w:hAnsi="Century Gothic"/>
          <w:noProof/>
        </w:rPr>
        <w:t xml:space="preserve">Le candidat peut, s’il le souhaite, ajouter </w:t>
      </w:r>
      <w:r w:rsidR="00763C27">
        <w:rPr>
          <w:rFonts w:ascii="Century Gothic" w:hAnsi="Century Gothic"/>
          <w:noProof/>
        </w:rPr>
        <w:t xml:space="preserve">dans son mémoire technique, </w:t>
      </w:r>
      <w:r w:rsidRPr="0064519E">
        <w:rPr>
          <w:rFonts w:ascii="Century Gothic" w:hAnsi="Century Gothic"/>
          <w:noProof/>
        </w:rPr>
        <w:t xml:space="preserve">des chapitres ou sous-chapitres. </w:t>
      </w:r>
    </w:p>
    <w:p w14:paraId="6A49DCFF" w14:textId="6F493DCD" w:rsidR="00AE391B" w:rsidRPr="0064519E" w:rsidRDefault="00AE391B" w:rsidP="00AE391B">
      <w:pPr>
        <w:rPr>
          <w:rFonts w:ascii="Century Gothic" w:hAnsi="Century Gothic"/>
          <w:noProof/>
        </w:rPr>
      </w:pPr>
      <w:r w:rsidRPr="0064519E">
        <w:rPr>
          <w:rFonts w:ascii="Century Gothic" w:hAnsi="Century Gothic"/>
          <w:noProof/>
        </w:rPr>
        <w:t xml:space="preserve">Le candidat peut annexer tout document de son choix à son offre </w:t>
      </w:r>
      <w:r w:rsidR="00C17621" w:rsidRPr="0064519E">
        <w:rPr>
          <w:rFonts w:ascii="Century Gothic" w:hAnsi="Century Gothic"/>
          <w:noProof/>
        </w:rPr>
        <w:t>en indiquant</w:t>
      </w:r>
      <w:r w:rsidRPr="0064519E">
        <w:rPr>
          <w:rFonts w:ascii="Century Gothic" w:hAnsi="Century Gothic"/>
          <w:noProof/>
        </w:rPr>
        <w:t xml:space="preserve"> </w:t>
      </w:r>
      <w:r w:rsidR="00470CDE" w:rsidRPr="0064519E">
        <w:rPr>
          <w:rFonts w:ascii="Century Gothic" w:hAnsi="Century Gothic"/>
          <w:noProof/>
        </w:rPr>
        <w:t>cependant</w:t>
      </w:r>
      <w:r w:rsidR="00CB3BB1">
        <w:rPr>
          <w:rFonts w:ascii="Century Gothic" w:hAnsi="Century Gothic"/>
          <w:noProof/>
        </w:rPr>
        <w:t xml:space="preserve"> </w:t>
      </w:r>
      <w:r w:rsidR="00470CDE">
        <w:rPr>
          <w:rFonts w:ascii="Century Gothic" w:hAnsi="Century Gothic"/>
          <w:noProof/>
        </w:rPr>
        <w:t xml:space="preserve">et </w:t>
      </w:r>
      <w:r w:rsidRPr="0064519E">
        <w:rPr>
          <w:rFonts w:ascii="Century Gothic" w:hAnsi="Century Gothic"/>
          <w:noProof/>
        </w:rPr>
        <w:t>précisément l’objet, les numéros de page et de paragraphe.</w:t>
      </w:r>
    </w:p>
    <w:p w14:paraId="2EB00B3D" w14:textId="77777777" w:rsidR="00AE391B" w:rsidRPr="0064519E" w:rsidRDefault="00AE391B" w:rsidP="00AE391B">
      <w:pPr>
        <w:rPr>
          <w:rFonts w:ascii="Century Gothic" w:hAnsi="Century Gothic"/>
          <w:noProof/>
        </w:rPr>
      </w:pPr>
      <w:r w:rsidRPr="0064519E">
        <w:rPr>
          <w:rFonts w:ascii="Century Gothic" w:hAnsi="Century Gothic"/>
          <w:noProof/>
        </w:rPr>
        <w:t>Chaque point fait l’objet d’une réponse distincte en évitant tout renvoi à une autre réponse. Le candidat doit veiller à faire des réponses concises et précises.</w:t>
      </w:r>
    </w:p>
    <w:p w14:paraId="32ABEC84" w14:textId="3394BB04" w:rsidR="00AE391B" w:rsidRPr="0064519E" w:rsidRDefault="00AE391B" w:rsidP="00AE391B">
      <w:pPr>
        <w:rPr>
          <w:rFonts w:ascii="Century Gothic" w:hAnsi="Century Gothic"/>
          <w:noProof/>
        </w:rPr>
      </w:pPr>
      <w:r w:rsidRPr="0064519E">
        <w:rPr>
          <w:rFonts w:ascii="Century Gothic" w:hAnsi="Century Gothic"/>
          <w:noProof/>
        </w:rPr>
        <w:t xml:space="preserve">Les éléments du </w:t>
      </w:r>
      <w:r w:rsidR="00C17621" w:rsidRPr="0064519E">
        <w:rPr>
          <w:rFonts w:ascii="Century Gothic" w:hAnsi="Century Gothic"/>
          <w:noProof/>
        </w:rPr>
        <w:t>CCP</w:t>
      </w:r>
      <w:r w:rsidRPr="0064519E">
        <w:rPr>
          <w:rFonts w:ascii="Century Gothic" w:hAnsi="Century Gothic"/>
          <w:noProof/>
        </w:rPr>
        <w:t xml:space="preserve"> et </w:t>
      </w:r>
      <w:r w:rsidR="00EF47CC">
        <w:rPr>
          <w:rFonts w:ascii="Century Gothic" w:hAnsi="Century Gothic"/>
          <w:noProof/>
        </w:rPr>
        <w:t>des</w:t>
      </w:r>
      <w:r w:rsidRPr="0064519E">
        <w:rPr>
          <w:rFonts w:ascii="Century Gothic" w:hAnsi="Century Gothic"/>
          <w:noProof/>
        </w:rPr>
        <w:t xml:space="preserve"> annexes sont à prendre en compte dans leur intégralité</w:t>
      </w:r>
      <w:r w:rsidR="00470CDE">
        <w:rPr>
          <w:rFonts w:ascii="Century Gothic" w:hAnsi="Century Gothic"/>
          <w:noProof/>
        </w:rPr>
        <w:t xml:space="preserve"> pour la formulation de la candidature</w:t>
      </w:r>
      <w:r w:rsidRPr="0064519E">
        <w:rPr>
          <w:rFonts w:ascii="Century Gothic" w:hAnsi="Century Gothic"/>
          <w:noProof/>
        </w:rPr>
        <w:t>.</w:t>
      </w:r>
    </w:p>
    <w:p w14:paraId="2458D12B" w14:textId="58C5A814" w:rsidR="00E01225" w:rsidRDefault="00E01225" w:rsidP="00781979">
      <w:pPr>
        <w:rPr>
          <w:rFonts w:ascii="Century Gothic" w:hAnsi="Century Gothic"/>
          <w:noProof/>
        </w:rPr>
      </w:pPr>
    </w:p>
    <w:p w14:paraId="1BC08B8D" w14:textId="77777777" w:rsidR="00781979" w:rsidRPr="0064519E" w:rsidRDefault="00781979" w:rsidP="00781979">
      <w:pPr>
        <w:rPr>
          <w:rFonts w:ascii="Century Gothic" w:hAnsi="Century Gothic"/>
        </w:rPr>
      </w:pPr>
    </w:p>
    <w:p w14:paraId="068D737A" w14:textId="77777777" w:rsidR="00803564" w:rsidRPr="0064519E" w:rsidRDefault="00803564">
      <w:pPr>
        <w:jc w:val="left"/>
        <w:rPr>
          <w:rFonts w:ascii="Century Gothic" w:eastAsiaTheme="majorEastAsia" w:hAnsi="Century Gothic" w:cstheme="majorBidi"/>
          <w:b/>
          <w:caps/>
          <w:noProof/>
          <w:color w:val="031127" w:themeColor="background2" w:themeShade="1A"/>
          <w:sz w:val="32"/>
          <w:szCs w:val="40"/>
        </w:rPr>
      </w:pPr>
      <w:r w:rsidRPr="0064519E">
        <w:rPr>
          <w:rFonts w:ascii="Century Gothic" w:hAnsi="Century Gothic"/>
          <w:noProof/>
        </w:rPr>
        <w:br w:type="page"/>
      </w:r>
    </w:p>
    <w:p w14:paraId="61764BAD" w14:textId="4E488071" w:rsidR="00FA37F9" w:rsidRPr="0064519E" w:rsidRDefault="003A2030" w:rsidP="00F44E6A">
      <w:pPr>
        <w:pStyle w:val="Titre1"/>
        <w:rPr>
          <w:rFonts w:ascii="Century Gothic" w:hAnsi="Century Gothic"/>
          <w:noProof/>
          <w:color w:val="FFFFFF" w:themeColor="background1"/>
          <w:sz w:val="28"/>
          <w:szCs w:val="28"/>
        </w:rPr>
      </w:pPr>
      <w:bookmarkStart w:id="3" w:name="_Toc201594159"/>
      <w:r>
        <w:rPr>
          <w:rFonts w:ascii="Century Gothic" w:hAnsi="Century Gothic"/>
          <w:noProof/>
          <w:color w:val="FFFFFF" w:themeColor="background1"/>
          <w:sz w:val="28"/>
          <w:szCs w:val="28"/>
        </w:rPr>
        <w:lastRenderedPageBreak/>
        <w:t>MOYENS TECHNIQUES DU CANDIDAT</w:t>
      </w:r>
      <w:r w:rsidR="002D7C27" w:rsidRPr="0064519E">
        <w:rPr>
          <w:rFonts w:ascii="Century Gothic" w:hAnsi="Century Gothic"/>
          <w:noProof/>
          <w:color w:val="FFFFFF" w:themeColor="background1"/>
          <w:sz w:val="28"/>
          <w:szCs w:val="28"/>
        </w:rPr>
        <w:t xml:space="preserve"> </w:t>
      </w:r>
      <w:r w:rsidR="00AE391B" w:rsidRPr="0064519E">
        <w:rPr>
          <w:rFonts w:ascii="Century Gothic" w:hAnsi="Century Gothic"/>
          <w:noProof/>
          <w:color w:val="FFFFFF" w:themeColor="background1"/>
          <w:sz w:val="28"/>
          <w:szCs w:val="28"/>
        </w:rPr>
        <w:t>(</w:t>
      </w:r>
      <w:r>
        <w:rPr>
          <w:rFonts w:ascii="Century Gothic" w:hAnsi="Century Gothic"/>
          <w:noProof/>
          <w:color w:val="FFFFFF" w:themeColor="background1"/>
          <w:sz w:val="28"/>
          <w:szCs w:val="28"/>
        </w:rPr>
        <w:t>50</w:t>
      </w:r>
      <w:r w:rsidR="00AE391B" w:rsidRPr="0064519E">
        <w:rPr>
          <w:rFonts w:ascii="Century Gothic" w:hAnsi="Century Gothic"/>
          <w:noProof/>
          <w:color w:val="FFFFFF" w:themeColor="background1"/>
          <w:sz w:val="28"/>
          <w:szCs w:val="28"/>
        </w:rPr>
        <w:t xml:space="preserve"> points)</w:t>
      </w:r>
      <w:bookmarkEnd w:id="3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4111"/>
        <w:gridCol w:w="6905"/>
      </w:tblGrid>
      <w:tr w:rsidR="006079FD" w:rsidRPr="009E1132" w14:paraId="5FCC2E77" w14:textId="77777777" w:rsidTr="006079FD">
        <w:trPr>
          <w:trHeight w:val="300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DDA23DA" w14:textId="77777777" w:rsidR="009E1132" w:rsidRPr="009E1132" w:rsidRDefault="009E1132" w:rsidP="009E1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Sous-critère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49E524A" w14:textId="77777777" w:rsidR="009E1132" w:rsidRPr="009E1132" w:rsidRDefault="009E1132" w:rsidP="009E1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Informations attendues du candidat</w:t>
            </w:r>
          </w:p>
        </w:tc>
        <w:tc>
          <w:tcPr>
            <w:tcW w:w="69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38C7B088" w14:textId="77777777" w:rsidR="009E1132" w:rsidRPr="009E1132" w:rsidRDefault="009E1132" w:rsidP="009E1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 xml:space="preserve">Réponse du candidat </w:t>
            </w:r>
          </w:p>
        </w:tc>
      </w:tr>
      <w:tr w:rsidR="009E1132" w:rsidRPr="009E1132" w14:paraId="07CE2301" w14:textId="77777777" w:rsidTr="006079FD">
        <w:trPr>
          <w:trHeight w:val="18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C00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1. Moyens matériels disponibles pour l’exécution du marché</w:t>
            </w: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</w:t>
            </w:r>
            <w:r w:rsidRPr="009E1132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Cs w:val="22"/>
                <w:lang w:eastAsia="fr-FR"/>
                <w14:ligatures w14:val="none"/>
              </w:rPr>
              <w:t>(20 pts)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DA3" w14:textId="3E676580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– Décrire la nature, la quantité et l’état des équipements disponibles (conteneurs réfrigérés, chambres froides, </w:t>
            </w:r>
            <w:proofErr w:type="spellStart"/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reefers</w:t>
            </w:r>
            <w:proofErr w:type="spellEnd"/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, etc.)</w:t>
            </w: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br/>
              <w:t>– Expliquer la capacité à remplacer/redéployer le matériel en cas de défaillance</w:t>
            </w:r>
          </w:p>
        </w:tc>
        <w:tc>
          <w:tcPr>
            <w:tcW w:w="6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1C48C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 </w:t>
            </w:r>
          </w:p>
        </w:tc>
      </w:tr>
      <w:tr w:rsidR="009E1132" w:rsidRPr="009E1132" w14:paraId="3370B85A" w14:textId="77777777" w:rsidTr="006079FD">
        <w:trPr>
          <w:trHeight w:val="15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7F4F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2. Moyens humains affectés au projet</w:t>
            </w: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</w:t>
            </w:r>
            <w:r w:rsidRPr="009E1132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Cs w:val="22"/>
                <w:lang w:eastAsia="fr-FR"/>
                <w14:ligatures w14:val="none"/>
              </w:rPr>
              <w:t>(10 pts)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B80A" w14:textId="62CDD631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– Présenter la composition de l’équipe technique : fonctions, qualifications, expériences</w:t>
            </w: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br/>
              <w:t xml:space="preserve">– Détailler l’organisation prévue pour l’installation, la maintenance, et le suivi des équipements pendant la durée </w:t>
            </w:r>
            <w:r w:rsidR="00EF47CC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des MS.</w:t>
            </w:r>
          </w:p>
        </w:tc>
        <w:tc>
          <w:tcPr>
            <w:tcW w:w="6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A3645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 </w:t>
            </w:r>
          </w:p>
        </w:tc>
      </w:tr>
      <w:tr w:rsidR="009E1132" w:rsidRPr="009E1132" w14:paraId="488F5809" w14:textId="77777777" w:rsidTr="006079FD">
        <w:trPr>
          <w:trHeight w:val="18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32E2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3. Capacités logistiques et réactivité opérationnelle</w:t>
            </w: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</w:t>
            </w:r>
            <w:r w:rsidRPr="009E1132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Cs w:val="22"/>
                <w:lang w:eastAsia="fr-FR"/>
                <w14:ligatures w14:val="none"/>
              </w:rPr>
              <w:t>(10 pts)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C7F1" w14:textId="72CFFAC9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– Indiquer les implantations logistiques du candidat sur le territoire</w:t>
            </w: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br/>
              <w:t>– Expliquer les moyens de livraison, d’enlèvement et de transport du matériel</w:t>
            </w:r>
          </w:p>
        </w:tc>
        <w:tc>
          <w:tcPr>
            <w:tcW w:w="6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4391A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 </w:t>
            </w:r>
          </w:p>
        </w:tc>
      </w:tr>
      <w:tr w:rsidR="009E1132" w:rsidRPr="009E1132" w14:paraId="4013BC75" w14:textId="77777777" w:rsidTr="006079FD">
        <w:trPr>
          <w:trHeight w:val="15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36F3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4. Maintenance, SAV et accompagnement technique</w:t>
            </w: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</w:t>
            </w:r>
            <w:r w:rsidRPr="009E1132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Cs w:val="22"/>
                <w:lang w:eastAsia="fr-FR"/>
                <w14:ligatures w14:val="none"/>
              </w:rPr>
              <w:t>(10 pts)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BBD7" w14:textId="77777777" w:rsid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– Présenter l’organisation de la maintenance préventive et corrective</w:t>
            </w: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br/>
              <w:t>– Décrire la disponibilité des pièces détachées</w:t>
            </w: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br/>
              <w:t>– Exposer les modalités de support technique (astreinte, hotline, délais de réponse, etc.)</w:t>
            </w:r>
          </w:p>
          <w:p w14:paraId="0115D9E1" w14:textId="4581595A" w:rsidR="00EF47CC" w:rsidRPr="009E1132" w:rsidRDefault="00EF47CC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</w:p>
        </w:tc>
        <w:tc>
          <w:tcPr>
            <w:tcW w:w="6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438CC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 </w:t>
            </w:r>
          </w:p>
        </w:tc>
      </w:tr>
    </w:tbl>
    <w:p w14:paraId="6A7FE240" w14:textId="7B536202" w:rsidR="00C87506" w:rsidRDefault="00C87506" w:rsidP="00C87506">
      <w:pPr>
        <w:spacing w:after="0" w:line="240" w:lineRule="auto"/>
        <w:rPr>
          <w:rFonts w:ascii="Century Gothic" w:eastAsia="Times New Roman" w:hAnsi="Century Gothic" w:cs="Calibri"/>
          <w:kern w:val="0"/>
          <w:szCs w:val="22"/>
          <w:lang w:eastAsia="fr-FR"/>
          <w14:ligatures w14:val="none"/>
        </w:rPr>
      </w:pPr>
    </w:p>
    <w:p w14:paraId="48E3D59C" w14:textId="6786AC25" w:rsidR="009E1132" w:rsidRDefault="009E1132" w:rsidP="00C87506">
      <w:pPr>
        <w:spacing w:after="0" w:line="240" w:lineRule="auto"/>
        <w:rPr>
          <w:rFonts w:ascii="Century Gothic" w:eastAsia="Times New Roman" w:hAnsi="Century Gothic" w:cs="Calibri"/>
          <w:kern w:val="0"/>
          <w:szCs w:val="22"/>
          <w:lang w:eastAsia="fr-FR"/>
          <w14:ligatures w14:val="none"/>
        </w:rPr>
      </w:pPr>
    </w:p>
    <w:p w14:paraId="52509574" w14:textId="7F8D913F" w:rsidR="00DA29E8" w:rsidRPr="0064519E" w:rsidRDefault="009E1132" w:rsidP="002D7C27">
      <w:pPr>
        <w:pStyle w:val="Titre1"/>
        <w:jc w:val="left"/>
        <w:rPr>
          <w:rFonts w:ascii="Century Gothic" w:hAnsi="Century Gothic"/>
          <w:color w:val="FFFFFF" w:themeColor="background1"/>
          <w:sz w:val="28"/>
          <w:szCs w:val="28"/>
        </w:rPr>
      </w:pPr>
      <w:bookmarkStart w:id="4" w:name="_Toc201594160"/>
      <w:r>
        <w:rPr>
          <w:rFonts w:ascii="Century Gothic" w:hAnsi="Century Gothic"/>
          <w:color w:val="FFFFFF" w:themeColor="background1"/>
          <w:sz w:val="28"/>
          <w:szCs w:val="28"/>
        </w:rPr>
        <w:t xml:space="preserve">DELAIS MOYENS DE FOURNITURES DES ARTICLES ET </w:t>
      </w:r>
      <w:proofErr w:type="gramStart"/>
      <w:r>
        <w:rPr>
          <w:rFonts w:ascii="Century Gothic" w:hAnsi="Century Gothic"/>
          <w:color w:val="FFFFFF" w:themeColor="background1"/>
          <w:sz w:val="28"/>
          <w:szCs w:val="28"/>
        </w:rPr>
        <w:t xml:space="preserve">EQUIPEMENTS </w:t>
      </w:r>
      <w:r w:rsidR="00AE391B" w:rsidRPr="0064519E">
        <w:rPr>
          <w:rFonts w:ascii="Century Gothic" w:hAnsi="Century Gothic"/>
          <w:color w:val="FFFFFF" w:themeColor="background1"/>
          <w:sz w:val="28"/>
          <w:szCs w:val="28"/>
        </w:rPr>
        <w:t xml:space="preserve"> (</w:t>
      </w:r>
      <w:proofErr w:type="gramEnd"/>
      <w:r>
        <w:rPr>
          <w:rFonts w:ascii="Century Gothic" w:hAnsi="Century Gothic"/>
          <w:color w:val="FFFFFF" w:themeColor="background1"/>
          <w:sz w:val="28"/>
          <w:szCs w:val="28"/>
        </w:rPr>
        <w:t xml:space="preserve">25 </w:t>
      </w:r>
      <w:r w:rsidR="00AE391B" w:rsidRPr="0064519E">
        <w:rPr>
          <w:rFonts w:ascii="Century Gothic" w:hAnsi="Century Gothic"/>
          <w:color w:val="FFFFFF" w:themeColor="background1"/>
          <w:sz w:val="28"/>
          <w:szCs w:val="28"/>
        </w:rPr>
        <w:t>points)</w:t>
      </w:r>
      <w:bookmarkEnd w:id="4"/>
    </w:p>
    <w:tbl>
      <w:tblPr>
        <w:tblW w:w="0" w:type="auto"/>
        <w:tblInd w:w="-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2"/>
        <w:gridCol w:w="4053"/>
        <w:gridCol w:w="6905"/>
      </w:tblGrid>
      <w:tr w:rsidR="009E1132" w:rsidRPr="009E1132" w14:paraId="774C95D2" w14:textId="77777777" w:rsidTr="009E1132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D08F37E" w14:textId="77777777" w:rsidR="009E1132" w:rsidRPr="009E1132" w:rsidRDefault="009E1132" w:rsidP="009E1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Sous-critère</w:t>
            </w:r>
          </w:p>
        </w:tc>
        <w:tc>
          <w:tcPr>
            <w:tcW w:w="40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B71F055" w14:textId="77777777" w:rsidR="009E1132" w:rsidRPr="009E1132" w:rsidRDefault="009E1132" w:rsidP="009E1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Informations attendues du candidat</w:t>
            </w:r>
          </w:p>
        </w:tc>
        <w:tc>
          <w:tcPr>
            <w:tcW w:w="69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7D1DB242" w14:textId="77777777" w:rsidR="009E1132" w:rsidRPr="009E1132" w:rsidRDefault="009E1132" w:rsidP="009E11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 xml:space="preserve">Réponse du candidat </w:t>
            </w:r>
          </w:p>
        </w:tc>
      </w:tr>
      <w:tr w:rsidR="009E1132" w:rsidRPr="009E1132" w14:paraId="15716DFD" w14:textId="77777777" w:rsidTr="009E1132">
        <w:trPr>
          <w:trHeight w:val="15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7F44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1. Délai moyen de livraison des équipements standards</w:t>
            </w: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</w:t>
            </w:r>
            <w:r w:rsidRPr="009E1132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Cs w:val="22"/>
                <w:lang w:eastAsia="fr-FR"/>
                <w14:ligatures w14:val="none"/>
              </w:rPr>
              <w:t>(10 pts)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35C8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Décrire la capacité à livrer rapidement les chambres froides, </w:t>
            </w:r>
            <w:proofErr w:type="spellStart"/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reefers</w:t>
            </w:r>
            <w:proofErr w:type="spellEnd"/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ou conteneurs standards. Indiquer les délais moyens constatés et mentionner les stocks disponibles immédiatement.</w:t>
            </w:r>
          </w:p>
        </w:tc>
        <w:tc>
          <w:tcPr>
            <w:tcW w:w="6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B30F2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 </w:t>
            </w:r>
          </w:p>
        </w:tc>
      </w:tr>
      <w:tr w:rsidR="009E1132" w:rsidRPr="009E1132" w14:paraId="084CFBD0" w14:textId="77777777" w:rsidTr="009E1132">
        <w:trPr>
          <w:trHeight w:val="14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2D9F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2. Délai d’installation et de mise en service</w:t>
            </w: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</w:t>
            </w:r>
            <w:r w:rsidRPr="009E1132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Cs w:val="22"/>
                <w:lang w:eastAsia="fr-FR"/>
                <w14:ligatures w14:val="none"/>
              </w:rPr>
              <w:t>(7 pts)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F4C4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Présenter le temps moyen nécessaire pour installer les équipements sur site, les ressources humaines et techniques mobilisables, ainsi que les moyens pour accélérer la mise à température.</w:t>
            </w:r>
          </w:p>
        </w:tc>
        <w:tc>
          <w:tcPr>
            <w:tcW w:w="6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1F265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 </w:t>
            </w:r>
          </w:p>
        </w:tc>
      </w:tr>
      <w:tr w:rsidR="009E1132" w:rsidRPr="009E1132" w14:paraId="074C2887" w14:textId="77777777" w:rsidTr="009E1132">
        <w:trPr>
          <w:trHeight w:val="11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1C5A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3. Réactivité en cas d’urgence ou d’événement imprévu</w:t>
            </w: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</w:t>
            </w:r>
            <w:r w:rsidRPr="009E1132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Cs w:val="22"/>
                <w:lang w:eastAsia="fr-FR"/>
                <w14:ligatures w14:val="none"/>
              </w:rPr>
              <w:t>(5 pts)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6E9B" w14:textId="241F4481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Expliquer la capacité à traiter une commande exceptionnelle dans un délai réduit</w:t>
            </w:r>
            <w:r w:rsidR="00CD5214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et </w:t>
            </w: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décrire les procédures d’urgence ou de continuité opérationnelle.</w:t>
            </w:r>
          </w:p>
        </w:tc>
        <w:tc>
          <w:tcPr>
            <w:tcW w:w="6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8F5D8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 </w:t>
            </w:r>
          </w:p>
        </w:tc>
      </w:tr>
      <w:tr w:rsidR="009E1132" w:rsidRPr="009E1132" w14:paraId="2D416E8A" w14:textId="77777777" w:rsidTr="009E1132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7A58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4. Engagements sur les délais contractuels</w:t>
            </w: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</w:t>
            </w:r>
            <w:r w:rsidRPr="009E1132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Cs w:val="22"/>
                <w:lang w:eastAsia="fr-FR"/>
                <w14:ligatures w14:val="none"/>
              </w:rPr>
              <w:t>(3 pts)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3765" w14:textId="1B99A94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Indiquer les garanties offertes concernant les délais</w:t>
            </w:r>
            <w:r w:rsidR="00CD5214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et </w:t>
            </w: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les résultats constatés sur d’autres marchés similaires.</w:t>
            </w:r>
          </w:p>
        </w:tc>
        <w:tc>
          <w:tcPr>
            <w:tcW w:w="6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6E4BA" w14:textId="77777777" w:rsidR="009E1132" w:rsidRPr="009E1132" w:rsidRDefault="009E1132" w:rsidP="009E1132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9E1132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 </w:t>
            </w:r>
          </w:p>
        </w:tc>
      </w:tr>
    </w:tbl>
    <w:p w14:paraId="65927072" w14:textId="77777777" w:rsidR="00781979" w:rsidRPr="0064519E" w:rsidRDefault="00781979" w:rsidP="009E1132">
      <w:pPr>
        <w:pStyle w:val="PuceCamembert"/>
        <w:numPr>
          <w:ilvl w:val="0"/>
          <w:numId w:val="0"/>
        </w:numPr>
        <w:ind w:left="1000"/>
        <w:rPr>
          <w:rFonts w:ascii="Century Gothic" w:hAnsi="Century Gothic"/>
        </w:rPr>
      </w:pPr>
    </w:p>
    <w:p w14:paraId="4DC14E1F" w14:textId="79B91AD9" w:rsidR="00C87506" w:rsidRDefault="00C87506" w:rsidP="00C87506">
      <w:pPr>
        <w:pStyle w:val="PuceCamembert"/>
        <w:numPr>
          <w:ilvl w:val="0"/>
          <w:numId w:val="0"/>
        </w:numPr>
        <w:rPr>
          <w:rFonts w:ascii="Century Gothic" w:hAnsi="Century Gothic"/>
        </w:rPr>
      </w:pPr>
    </w:p>
    <w:p w14:paraId="4D47EA72" w14:textId="77777777" w:rsidR="00781979" w:rsidRPr="0064519E" w:rsidRDefault="00781979" w:rsidP="00C87506">
      <w:pPr>
        <w:pStyle w:val="PuceCamembert"/>
        <w:numPr>
          <w:ilvl w:val="0"/>
          <w:numId w:val="0"/>
        </w:numPr>
        <w:rPr>
          <w:rFonts w:ascii="Century Gothic" w:hAnsi="Century Gothic"/>
        </w:rPr>
      </w:pPr>
    </w:p>
    <w:p w14:paraId="13231386" w14:textId="30B25157" w:rsidR="00E7047A" w:rsidRPr="0064519E" w:rsidRDefault="00E7047A" w:rsidP="00C87506">
      <w:pPr>
        <w:pStyle w:val="Titre2"/>
        <w:numPr>
          <w:ilvl w:val="0"/>
          <w:numId w:val="0"/>
        </w:numPr>
        <w:ind w:left="576"/>
        <w:rPr>
          <w:rFonts w:ascii="Century Gothic" w:hAnsi="Century Gothic"/>
          <w:b w:val="0"/>
          <w:caps/>
          <w:color w:val="031127" w:themeColor="background2" w:themeShade="1A"/>
          <w:sz w:val="32"/>
          <w:szCs w:val="40"/>
          <w:highlight w:val="yellow"/>
        </w:rPr>
      </w:pPr>
      <w:r w:rsidRPr="0064519E">
        <w:rPr>
          <w:rFonts w:ascii="Century Gothic" w:hAnsi="Century Gothic"/>
          <w:highlight w:val="yellow"/>
        </w:rPr>
        <w:br w:type="page"/>
      </w:r>
    </w:p>
    <w:p w14:paraId="3D146D52" w14:textId="56FE0620" w:rsidR="00290210" w:rsidRPr="0064519E" w:rsidRDefault="0065734B" w:rsidP="00C55A31">
      <w:pPr>
        <w:pStyle w:val="Titre1"/>
        <w:rPr>
          <w:rFonts w:ascii="Century Gothic" w:hAnsi="Century Gothic"/>
          <w:color w:val="FFFFFF" w:themeColor="background1"/>
        </w:rPr>
      </w:pPr>
      <w:bookmarkStart w:id="5" w:name="_Toc201594161"/>
      <w:r>
        <w:rPr>
          <w:rFonts w:ascii="Century Gothic" w:hAnsi="Century Gothic"/>
          <w:color w:val="FFFFFF" w:themeColor="background1"/>
        </w:rPr>
        <w:lastRenderedPageBreak/>
        <w:t>experience et references du fournisseur</w:t>
      </w:r>
      <w:r w:rsidR="00683321" w:rsidRPr="0064519E">
        <w:rPr>
          <w:rFonts w:ascii="Century Gothic" w:hAnsi="Century Gothic"/>
          <w:color w:val="FFFFFF" w:themeColor="background1"/>
        </w:rPr>
        <w:t xml:space="preserve"> (</w:t>
      </w:r>
      <w:r>
        <w:rPr>
          <w:rFonts w:ascii="Century Gothic" w:hAnsi="Century Gothic"/>
          <w:color w:val="FFFFFF" w:themeColor="background1"/>
        </w:rPr>
        <w:t>10</w:t>
      </w:r>
      <w:r w:rsidR="00683321" w:rsidRPr="0064519E">
        <w:rPr>
          <w:rFonts w:ascii="Century Gothic" w:hAnsi="Century Gothic"/>
          <w:color w:val="FFFFFF" w:themeColor="background1"/>
        </w:rPr>
        <w:t xml:space="preserve"> points)</w:t>
      </w:r>
      <w:bookmarkEnd w:id="5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4111"/>
        <w:gridCol w:w="6905"/>
      </w:tblGrid>
      <w:tr w:rsidR="0065734B" w:rsidRPr="0065734B" w14:paraId="669E548B" w14:textId="77777777" w:rsidTr="0065734B">
        <w:trPr>
          <w:trHeight w:val="300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60ADCA4" w14:textId="77777777" w:rsidR="0065734B" w:rsidRPr="0065734B" w:rsidRDefault="0065734B" w:rsidP="006573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573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Sous-critère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9BF7EA8" w14:textId="77777777" w:rsidR="0065734B" w:rsidRPr="0065734B" w:rsidRDefault="0065734B" w:rsidP="006573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573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Informations attendues du candidat</w:t>
            </w:r>
          </w:p>
        </w:tc>
        <w:tc>
          <w:tcPr>
            <w:tcW w:w="69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526ACF44" w14:textId="77777777" w:rsidR="0065734B" w:rsidRPr="0065734B" w:rsidRDefault="0065734B" w:rsidP="006573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573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 xml:space="preserve">Réponse du candidat </w:t>
            </w:r>
          </w:p>
        </w:tc>
      </w:tr>
      <w:tr w:rsidR="0065734B" w:rsidRPr="0065734B" w14:paraId="0409C077" w14:textId="77777777" w:rsidTr="0065734B">
        <w:trPr>
          <w:trHeight w:val="12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4777" w14:textId="77777777" w:rsidR="0065734B" w:rsidRPr="0065734B" w:rsidRDefault="0065734B" w:rsidP="0065734B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573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1. Expérience globale dans le domaine de la réfrigération</w:t>
            </w:r>
            <w:r w:rsidRPr="0065734B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</w:t>
            </w:r>
            <w:r w:rsidRPr="0065734B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Cs w:val="22"/>
                <w:lang w:eastAsia="fr-FR"/>
                <w14:ligatures w14:val="none"/>
              </w:rPr>
              <w:t>(4 pts)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7A72" w14:textId="77777777" w:rsidR="0065734B" w:rsidRPr="0065734B" w:rsidRDefault="0065734B" w:rsidP="0065734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5734B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– Indiquer le nombre d’années d’activité dans le secteur des équipements frigorifiques</w:t>
            </w:r>
            <w:r w:rsidRPr="0065734B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br/>
              <w:t>– Préciser le volume et la nature des marchés similaires déjà exécutés</w:t>
            </w:r>
          </w:p>
        </w:tc>
        <w:tc>
          <w:tcPr>
            <w:tcW w:w="6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E3591" w14:textId="77777777" w:rsidR="0065734B" w:rsidRPr="0065734B" w:rsidRDefault="0065734B" w:rsidP="0065734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5734B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 </w:t>
            </w:r>
            <w:bookmarkStart w:id="6" w:name="_GoBack"/>
            <w:bookmarkEnd w:id="6"/>
          </w:p>
        </w:tc>
      </w:tr>
      <w:tr w:rsidR="0065734B" w:rsidRPr="0065734B" w14:paraId="6D3754C6" w14:textId="77777777" w:rsidTr="0065734B">
        <w:trPr>
          <w:trHeight w:val="12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3EF8" w14:textId="77777777" w:rsidR="0065734B" w:rsidRPr="0065734B" w:rsidRDefault="0065734B" w:rsidP="0065734B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573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2. Références sur des projets comparables</w:t>
            </w:r>
            <w:r w:rsidRPr="0065734B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</w:t>
            </w:r>
            <w:r w:rsidRPr="0065734B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Cs w:val="22"/>
                <w:lang w:eastAsia="fr-FR"/>
                <w14:ligatures w14:val="none"/>
              </w:rPr>
              <w:t>(4 pts)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6A3E" w14:textId="2AE4BC9D" w:rsidR="0065734B" w:rsidRPr="0065734B" w:rsidRDefault="0065734B" w:rsidP="0065734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5734B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– Présenter des réalisations antérieures dans des contextes logistiques complexes, grands événements ou marchés publics</w:t>
            </w:r>
            <w:r w:rsidRPr="0065734B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br/>
            </w:r>
            <w:r w:rsidR="00CD5214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avec</w:t>
            </w:r>
            <w:r w:rsidRPr="0065734B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preuves ou attestations clients</w:t>
            </w:r>
            <w:r w:rsidR="00CD5214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à l’appui</w:t>
            </w:r>
          </w:p>
        </w:tc>
        <w:tc>
          <w:tcPr>
            <w:tcW w:w="6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57E34" w14:textId="77777777" w:rsidR="0065734B" w:rsidRPr="0065734B" w:rsidRDefault="0065734B" w:rsidP="0065734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5734B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 </w:t>
            </w:r>
          </w:p>
        </w:tc>
      </w:tr>
      <w:tr w:rsidR="0065734B" w:rsidRPr="0065734B" w14:paraId="2B967903" w14:textId="77777777" w:rsidTr="0065734B">
        <w:trPr>
          <w:trHeight w:val="12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1F7F" w14:textId="77777777" w:rsidR="0065734B" w:rsidRPr="0065734B" w:rsidRDefault="0065734B" w:rsidP="0065734B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573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 xml:space="preserve">3. Capacité d’intervention nationale ou </w:t>
            </w:r>
            <w:proofErr w:type="spellStart"/>
            <w:r w:rsidRPr="006573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multi-sites</w:t>
            </w:r>
            <w:proofErr w:type="spellEnd"/>
            <w:r w:rsidRPr="0065734B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</w:t>
            </w:r>
            <w:r w:rsidRPr="0065734B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Cs w:val="22"/>
                <w:lang w:eastAsia="fr-FR"/>
                <w14:ligatures w14:val="none"/>
              </w:rPr>
              <w:t>(2 pts)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36D0" w14:textId="2CB5398C" w:rsidR="0065734B" w:rsidRPr="0065734B" w:rsidRDefault="0065734B" w:rsidP="0065734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5734B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– </w:t>
            </w:r>
            <w:r w:rsidR="008A10DC" w:rsidRPr="008A10DC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Nombre</w:t>
            </w:r>
            <w:r w:rsidR="008A10DC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et localisation</w:t>
            </w:r>
            <w:r w:rsidR="008A10DC" w:rsidRPr="008A10DC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de</w:t>
            </w:r>
            <w:r w:rsidR="008A10DC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s</w:t>
            </w:r>
            <w:r w:rsidR="008A10DC" w:rsidRPr="008A10DC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sites sur lesquels le candidat peut intervenir</w:t>
            </w:r>
          </w:p>
        </w:tc>
        <w:tc>
          <w:tcPr>
            <w:tcW w:w="6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07DCA" w14:textId="77777777" w:rsidR="0065734B" w:rsidRPr="0065734B" w:rsidRDefault="0065734B" w:rsidP="0065734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5734B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 </w:t>
            </w:r>
          </w:p>
        </w:tc>
      </w:tr>
    </w:tbl>
    <w:p w14:paraId="75F3F224" w14:textId="77777777" w:rsidR="00EF5939" w:rsidRDefault="00EF5939">
      <w:pPr>
        <w:jc w:val="left"/>
        <w:rPr>
          <w:rFonts w:ascii="Century Gothic" w:hAnsi="Century Gothic"/>
        </w:rPr>
      </w:pPr>
    </w:p>
    <w:p w14:paraId="5EEBF9C7" w14:textId="1C7FD6D4" w:rsidR="00EF5939" w:rsidRDefault="00EF5939">
      <w:pPr>
        <w:jc w:val="left"/>
        <w:rPr>
          <w:rFonts w:ascii="Century Gothic" w:hAnsi="Century Gothic"/>
        </w:rPr>
      </w:pPr>
    </w:p>
    <w:p w14:paraId="6F61452D" w14:textId="34929879" w:rsidR="00781979" w:rsidRDefault="00781979">
      <w:pPr>
        <w:jc w:val="left"/>
        <w:rPr>
          <w:rFonts w:ascii="Century Gothic" w:hAnsi="Century Gothic"/>
        </w:rPr>
      </w:pPr>
    </w:p>
    <w:p w14:paraId="76F01FDD" w14:textId="71239F98" w:rsidR="00781979" w:rsidRDefault="00781979">
      <w:pPr>
        <w:jc w:val="left"/>
        <w:rPr>
          <w:rFonts w:ascii="Century Gothic" w:hAnsi="Century Gothic"/>
        </w:rPr>
      </w:pPr>
    </w:p>
    <w:p w14:paraId="7EAE84A6" w14:textId="55D08EBB" w:rsidR="00781979" w:rsidRDefault="00781979">
      <w:pPr>
        <w:jc w:val="left"/>
        <w:rPr>
          <w:rFonts w:ascii="Century Gothic" w:hAnsi="Century Gothic"/>
        </w:rPr>
      </w:pPr>
    </w:p>
    <w:p w14:paraId="3D0070AE" w14:textId="57879CF7" w:rsidR="008A3320" w:rsidRDefault="008A3320">
      <w:pPr>
        <w:jc w:val="left"/>
        <w:rPr>
          <w:rFonts w:ascii="Century Gothic" w:hAnsi="Century Gothic"/>
        </w:rPr>
      </w:pPr>
    </w:p>
    <w:p w14:paraId="089D8A66" w14:textId="14BBD70D" w:rsidR="008A3320" w:rsidRDefault="008A3320">
      <w:pPr>
        <w:jc w:val="left"/>
        <w:rPr>
          <w:rFonts w:ascii="Century Gothic" w:hAnsi="Century Gothic"/>
        </w:rPr>
      </w:pPr>
    </w:p>
    <w:p w14:paraId="0535CE51" w14:textId="3EF72F4E" w:rsidR="008A3320" w:rsidRDefault="008A3320">
      <w:pPr>
        <w:jc w:val="left"/>
        <w:rPr>
          <w:rFonts w:ascii="Century Gothic" w:hAnsi="Century Gothic"/>
        </w:rPr>
      </w:pPr>
    </w:p>
    <w:p w14:paraId="76F750B8" w14:textId="25E33FA4" w:rsidR="00AE391B" w:rsidRPr="00C455A9" w:rsidRDefault="00C73DDE" w:rsidP="00C73DDE">
      <w:pPr>
        <w:pStyle w:val="Titre1"/>
        <w:ind w:right="-142"/>
        <w:jc w:val="left"/>
        <w:rPr>
          <w:rFonts w:ascii="Century Gothic" w:hAnsi="Century Gothic"/>
          <w:color w:val="FFFFFF" w:themeColor="background1"/>
          <w:sz w:val="28"/>
          <w:szCs w:val="28"/>
        </w:rPr>
      </w:pPr>
      <w:bookmarkStart w:id="7" w:name="_Toc201594162"/>
      <w:r w:rsidRPr="00C455A9">
        <w:rPr>
          <w:rFonts w:ascii="Century Gothic" w:hAnsi="Century Gothic"/>
          <w:color w:val="FFFFFF" w:themeColor="background1"/>
          <w:sz w:val="28"/>
          <w:szCs w:val="28"/>
        </w:rPr>
        <w:lastRenderedPageBreak/>
        <w:t>Mesures environnementales et societales</w:t>
      </w:r>
      <w:r w:rsidR="00AE391B" w:rsidRPr="00C455A9">
        <w:rPr>
          <w:rFonts w:ascii="Century Gothic" w:hAnsi="Century Gothic"/>
          <w:color w:val="FFFFFF" w:themeColor="background1"/>
          <w:sz w:val="28"/>
          <w:szCs w:val="28"/>
        </w:rPr>
        <w:t xml:space="preserve"> (</w:t>
      </w:r>
      <w:r w:rsidR="00171430">
        <w:rPr>
          <w:rFonts w:ascii="Century Gothic" w:hAnsi="Century Gothic"/>
          <w:color w:val="FFFFFF" w:themeColor="background1"/>
          <w:sz w:val="28"/>
          <w:szCs w:val="28"/>
        </w:rPr>
        <w:t>1</w:t>
      </w:r>
      <w:r w:rsidR="00694E18">
        <w:rPr>
          <w:rFonts w:ascii="Century Gothic" w:hAnsi="Century Gothic"/>
          <w:color w:val="FFFFFF" w:themeColor="background1"/>
          <w:sz w:val="28"/>
          <w:szCs w:val="28"/>
        </w:rPr>
        <w:t>5</w:t>
      </w:r>
      <w:r w:rsidR="00AE391B" w:rsidRPr="00C455A9">
        <w:rPr>
          <w:rFonts w:ascii="Century Gothic" w:hAnsi="Century Gothic"/>
          <w:color w:val="FFFFFF" w:themeColor="background1"/>
          <w:sz w:val="28"/>
          <w:szCs w:val="28"/>
        </w:rPr>
        <w:t xml:space="preserve"> points)</w:t>
      </w:r>
      <w:bookmarkEnd w:id="7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4111"/>
        <w:gridCol w:w="6905"/>
      </w:tblGrid>
      <w:tr w:rsidR="00694E18" w:rsidRPr="00694E18" w14:paraId="76A9D32F" w14:textId="77777777" w:rsidTr="00694E18">
        <w:trPr>
          <w:trHeight w:val="300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82F55B9" w14:textId="77777777" w:rsidR="00694E18" w:rsidRPr="00694E18" w:rsidRDefault="00694E18" w:rsidP="0069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94E1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Sous-critère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AF85805" w14:textId="77777777" w:rsidR="00694E18" w:rsidRPr="00694E18" w:rsidRDefault="00694E18" w:rsidP="0069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94E1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Informations attendues du candidat</w:t>
            </w:r>
          </w:p>
        </w:tc>
        <w:tc>
          <w:tcPr>
            <w:tcW w:w="69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5455B266" w14:textId="77777777" w:rsidR="00694E18" w:rsidRPr="00694E18" w:rsidRDefault="00694E18" w:rsidP="0069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94E1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 xml:space="preserve">Réponse du candidat </w:t>
            </w:r>
          </w:p>
        </w:tc>
      </w:tr>
      <w:tr w:rsidR="00694E18" w:rsidRPr="00694E18" w14:paraId="62DB174D" w14:textId="77777777" w:rsidTr="00694E18">
        <w:trPr>
          <w:trHeight w:val="12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B3FF" w14:textId="77777777" w:rsidR="00694E18" w:rsidRPr="00694E18" w:rsidRDefault="00694E18" w:rsidP="00694E18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94E1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1. Réduction de l’empreinte environnementale des équipements</w:t>
            </w: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</w:t>
            </w:r>
            <w:r w:rsidRPr="00694E18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Cs w:val="22"/>
                <w:lang w:eastAsia="fr-FR"/>
                <w14:ligatures w14:val="none"/>
              </w:rPr>
              <w:t>(6 pts)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3CA3" w14:textId="77777777" w:rsidR="00694E18" w:rsidRPr="00694E18" w:rsidRDefault="00694E18" w:rsidP="00694E1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– Décrire les fluides frigorigènes utilisés et leur GWP</w:t>
            </w: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br/>
              <w:t>– Préciser l’isolation thermique des équipements</w:t>
            </w: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br/>
              <w:t>– Fournir les données de consommation énergétique (classe, fiche technique)</w:t>
            </w:r>
          </w:p>
        </w:tc>
        <w:tc>
          <w:tcPr>
            <w:tcW w:w="6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034ED" w14:textId="77777777" w:rsidR="00694E18" w:rsidRPr="00694E18" w:rsidRDefault="00694E18" w:rsidP="00694E1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 </w:t>
            </w:r>
          </w:p>
        </w:tc>
      </w:tr>
      <w:tr w:rsidR="00694E18" w:rsidRPr="00694E18" w14:paraId="6F734BF2" w14:textId="77777777" w:rsidTr="00694E18">
        <w:trPr>
          <w:trHeight w:val="15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CF73" w14:textId="77777777" w:rsidR="00694E18" w:rsidRPr="00694E18" w:rsidRDefault="00694E18" w:rsidP="00694E18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94E1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2. Gestion des déchets et engagement circulaire</w:t>
            </w: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</w:t>
            </w:r>
            <w:r w:rsidRPr="00694E18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Cs w:val="22"/>
                <w:lang w:eastAsia="fr-FR"/>
                <w14:ligatures w14:val="none"/>
              </w:rPr>
              <w:t>(4 pts)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8258" w14:textId="2D48CE95" w:rsidR="00694E18" w:rsidRDefault="00694E18" w:rsidP="00694E1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– Expliquer les procédures de recyclage ou valorisation des équipemen</w:t>
            </w:r>
            <w: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ts</w:t>
            </w:r>
          </w:p>
          <w:p w14:paraId="1B3831FE" w14:textId="452EFB1E" w:rsidR="00694E18" w:rsidRPr="00694E18" w:rsidRDefault="00694E18" w:rsidP="00694E1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– Indiquer la gestion des emballages (réutilisation, tri, reprise)</w:t>
            </w: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br/>
              <w:t>– Présenter les engagements sur la reprise du matériel temporaire</w:t>
            </w:r>
          </w:p>
        </w:tc>
        <w:tc>
          <w:tcPr>
            <w:tcW w:w="6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28E20" w14:textId="77777777" w:rsidR="00694E18" w:rsidRPr="00694E18" w:rsidRDefault="00694E18" w:rsidP="00694E1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 </w:t>
            </w:r>
          </w:p>
        </w:tc>
      </w:tr>
      <w:tr w:rsidR="00694E18" w:rsidRPr="00694E18" w14:paraId="5B7AA4CF" w14:textId="77777777" w:rsidTr="00694E18">
        <w:trPr>
          <w:trHeight w:val="15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7974" w14:textId="77777777" w:rsidR="00694E18" w:rsidRPr="00694E18" w:rsidRDefault="00694E18" w:rsidP="00694E18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94E1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3. Politique environnementale / RSE</w:t>
            </w: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</w:t>
            </w:r>
            <w:r w:rsidRPr="00694E18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Cs w:val="22"/>
                <w:lang w:eastAsia="fr-FR"/>
                <w14:ligatures w14:val="none"/>
              </w:rPr>
              <w:t>(3 pts)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1867" w14:textId="77777777" w:rsidR="00694E18" w:rsidRPr="00694E18" w:rsidRDefault="00694E18" w:rsidP="00694E1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– Joindre une politique environnementale ou RSE en vigueur</w:t>
            </w: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br/>
              <w:t>– Indiquer toute certification (ISO 14001 ou équivalent)</w:t>
            </w: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br/>
              <w:t>– Présenter d’éventuelles démarches de suivi d’indicateurs ou de compensation carbone</w:t>
            </w:r>
          </w:p>
        </w:tc>
        <w:tc>
          <w:tcPr>
            <w:tcW w:w="6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20945" w14:textId="77777777" w:rsidR="00694E18" w:rsidRPr="00694E18" w:rsidRDefault="00694E18" w:rsidP="00694E1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 </w:t>
            </w:r>
          </w:p>
        </w:tc>
      </w:tr>
      <w:tr w:rsidR="00694E18" w:rsidRPr="00694E18" w14:paraId="3E59DE4C" w14:textId="77777777" w:rsidTr="00694E18">
        <w:trPr>
          <w:trHeight w:val="15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8613" w14:textId="56D13824" w:rsidR="00694E18" w:rsidRDefault="00694E18" w:rsidP="00694E18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94E1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2"/>
                <w:lang w:eastAsia="fr-FR"/>
                <w14:ligatures w14:val="none"/>
              </w:rPr>
              <w:t>4. Logistique écoresponsable</w:t>
            </w: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 xml:space="preserve"> </w:t>
            </w:r>
            <w:r w:rsidRPr="00694E18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Cs w:val="22"/>
                <w:lang w:eastAsia="fr-FR"/>
                <w14:ligatures w14:val="none"/>
              </w:rPr>
              <w:t>(2 pts)</w:t>
            </w:r>
          </w:p>
          <w:p w14:paraId="1AF34CB7" w14:textId="77777777" w:rsidR="00694E18" w:rsidRPr="00694E18" w:rsidRDefault="00694E18" w:rsidP="00694E18">
            <w:pPr>
              <w:rPr>
                <w:rFonts w:ascii="Calibri" w:eastAsia="Times New Roman" w:hAnsi="Calibri" w:cs="Calibri"/>
                <w:szCs w:val="22"/>
                <w:lang w:eastAsia="fr-FR"/>
              </w:rPr>
            </w:pPr>
          </w:p>
          <w:p w14:paraId="336396B2" w14:textId="02D2D596" w:rsidR="00694E18" w:rsidRDefault="00694E18" w:rsidP="00694E18">
            <w:pPr>
              <w:rPr>
                <w:rFonts w:ascii="Calibri" w:eastAsia="Times New Roman" w:hAnsi="Calibri" w:cs="Calibri"/>
                <w:szCs w:val="22"/>
                <w:lang w:eastAsia="fr-FR"/>
              </w:rPr>
            </w:pPr>
          </w:p>
          <w:p w14:paraId="6D588B72" w14:textId="78EA77D8" w:rsidR="00694E18" w:rsidRDefault="00694E18" w:rsidP="00694E18">
            <w:pPr>
              <w:rPr>
                <w:rFonts w:ascii="Calibri" w:eastAsia="Times New Roman" w:hAnsi="Calibri" w:cs="Calibri"/>
                <w:szCs w:val="22"/>
                <w:lang w:eastAsia="fr-FR"/>
              </w:rPr>
            </w:pPr>
          </w:p>
          <w:p w14:paraId="56048BBC" w14:textId="77777777" w:rsidR="00694E18" w:rsidRPr="00694E18" w:rsidRDefault="00694E18" w:rsidP="00694E18">
            <w:pPr>
              <w:rPr>
                <w:rFonts w:ascii="Calibri" w:eastAsia="Times New Roman" w:hAnsi="Calibri" w:cs="Calibri"/>
                <w:szCs w:val="22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3775" w14:textId="20617BA5" w:rsidR="00694E18" w:rsidRPr="00694E18" w:rsidRDefault="00694E18" w:rsidP="00694E1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- Décrire l'organisation des tournées logistiques optimisées (réduction des kilomètres à vide, mutualisation)</w:t>
            </w: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br/>
              <w:t>- Préciser l'usage de véhicules à faibles émissions (électriques, GNV, etc.)</w:t>
            </w:r>
          </w:p>
        </w:tc>
        <w:tc>
          <w:tcPr>
            <w:tcW w:w="6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951F4" w14:textId="77777777" w:rsidR="00694E18" w:rsidRPr="00694E18" w:rsidRDefault="00694E18" w:rsidP="00694E18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</w:pPr>
            <w:r w:rsidRPr="00694E18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fr-FR"/>
                <w14:ligatures w14:val="none"/>
              </w:rPr>
              <w:t> </w:t>
            </w:r>
          </w:p>
        </w:tc>
      </w:tr>
    </w:tbl>
    <w:p w14:paraId="39B30544" w14:textId="0F5FC60F" w:rsidR="003E17E6" w:rsidRPr="0064519E" w:rsidRDefault="003E17E6" w:rsidP="00694E18">
      <w:pPr>
        <w:jc w:val="left"/>
      </w:pPr>
    </w:p>
    <w:sectPr w:rsidR="003E17E6" w:rsidRPr="0064519E" w:rsidSect="00D422E1">
      <w:headerReference w:type="default" r:id="rId13"/>
      <w:footerReference w:type="default" r:id="rId14"/>
      <w:pgSz w:w="16838" w:h="11906" w:orient="landscape"/>
      <w:pgMar w:top="1417" w:right="851" w:bottom="1417" w:left="1417" w:header="708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FE922" w14:textId="77777777" w:rsidR="003E72E8" w:rsidRDefault="003E72E8" w:rsidP="002E0F69">
      <w:pPr>
        <w:spacing w:after="0" w:line="240" w:lineRule="auto"/>
      </w:pPr>
      <w:r>
        <w:separator/>
      </w:r>
    </w:p>
  </w:endnote>
  <w:endnote w:type="continuationSeparator" w:id="0">
    <w:p w14:paraId="2478E986" w14:textId="77777777" w:rsidR="003E72E8" w:rsidRDefault="003E72E8" w:rsidP="002E0F69">
      <w:pPr>
        <w:spacing w:after="0" w:line="240" w:lineRule="auto"/>
      </w:pPr>
      <w:r>
        <w:continuationSeparator/>
      </w:r>
    </w:p>
  </w:endnote>
  <w:endnote w:type="continuationNotice" w:id="1">
    <w:p w14:paraId="14EC832F" w14:textId="77777777" w:rsidR="003E72E8" w:rsidRDefault="003E72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15"/>
    </w:tblGrid>
    <w:tr w:rsidR="00712665" w:rsidRPr="00DF5743" w14:paraId="3618AA0F" w14:textId="77777777" w:rsidTr="00E41C06">
      <w:tc>
        <w:tcPr>
          <w:tcW w:w="6515" w:type="dxa"/>
          <w:vAlign w:val="center"/>
        </w:tcPr>
        <w:p w14:paraId="5A4C2447" w14:textId="1CAD0B2F" w:rsidR="00712665" w:rsidRPr="00252B32" w:rsidRDefault="00A467A1" w:rsidP="00A467A1">
          <w:pPr>
            <w:pStyle w:val="Pieddepage"/>
            <w:jc w:val="left"/>
            <w:rPr>
              <w:b/>
              <w:bCs/>
              <w:color w:val="4A66AC" w:themeColor="accent1"/>
              <w:lang w:val="en-US"/>
            </w:rPr>
          </w:pPr>
          <w:r>
            <w:rPr>
              <w:b/>
              <w:bCs/>
              <w:color w:val="424996" w:themeColor="text2" w:themeTint="BF"/>
              <w:lang w:val="en-US"/>
            </w:rPr>
            <w:t>EDA-DA</w:t>
          </w:r>
          <w:r w:rsidRPr="003D5240" w:rsidDel="00A467A1">
            <w:rPr>
              <w:b/>
              <w:bCs/>
              <w:color w:val="424996" w:themeColor="text2" w:themeTint="BF"/>
              <w:lang w:val="en-US"/>
            </w:rPr>
            <w:t xml:space="preserve"> </w:t>
          </w:r>
          <w:r>
            <w:rPr>
              <w:b/>
              <w:bCs/>
              <w:color w:val="424996" w:themeColor="text2" w:themeTint="BF"/>
              <w:lang w:val="en-US"/>
            </w:rPr>
            <w:t xml:space="preserve">- </w:t>
          </w:r>
          <w:proofErr w:type="gramStart"/>
          <w:r w:rsidR="005B133C" w:rsidRPr="003D5240">
            <w:rPr>
              <w:b/>
              <w:bCs/>
              <w:color w:val="424996" w:themeColor="text2" w:themeTint="BF"/>
              <w:lang w:val="en-US"/>
            </w:rPr>
            <w:t>CRT  PROCEDURE</w:t>
          </w:r>
          <w:proofErr w:type="gramEnd"/>
          <w:r w:rsidR="005B133C" w:rsidRPr="003D5240">
            <w:rPr>
              <w:b/>
              <w:bCs/>
              <w:color w:val="424996" w:themeColor="text2" w:themeTint="BF"/>
              <w:lang w:val="en-US"/>
            </w:rPr>
            <w:t xml:space="preserve"> </w:t>
          </w:r>
          <w:r>
            <w:rPr>
              <w:b/>
              <w:bCs/>
              <w:color w:val="424996" w:themeColor="text2" w:themeTint="BF"/>
              <w:lang w:val="en-US"/>
            </w:rPr>
            <w:t>2025-0</w:t>
          </w:r>
          <w:r w:rsidR="0051268F">
            <w:rPr>
              <w:b/>
              <w:bCs/>
              <w:color w:val="424996" w:themeColor="text2" w:themeTint="BF"/>
              <w:lang w:val="en-US"/>
            </w:rPr>
            <w:t>64</w:t>
          </w:r>
          <w:r w:rsidR="00A67865">
            <w:rPr>
              <w:b/>
              <w:bCs/>
              <w:color w:val="424996" w:themeColor="text2" w:themeTint="BF"/>
              <w:lang w:val="en-US"/>
            </w:rPr>
            <w:t>2</w:t>
          </w:r>
          <w:r>
            <w:rPr>
              <w:b/>
              <w:bCs/>
              <w:color w:val="424996" w:themeColor="text2" w:themeTint="BF"/>
              <w:lang w:val="en-US"/>
            </w:rPr>
            <w:t xml:space="preserve">-/SAD </w:t>
          </w:r>
          <w:r w:rsidR="0051268F">
            <w:rPr>
              <w:b/>
              <w:bCs/>
              <w:color w:val="424996" w:themeColor="text2" w:themeTint="BF"/>
              <w:lang w:val="en-US"/>
            </w:rPr>
            <w:t>SOLUTIONS FRIGORIFIQUES</w:t>
          </w:r>
        </w:p>
      </w:tc>
    </w:tr>
  </w:tbl>
  <w:p w14:paraId="6B40DB5C" w14:textId="49A75D20" w:rsidR="00712665" w:rsidRDefault="00712665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6CC3732" wp14:editId="236E4F1C">
              <wp:simplePos x="0" y="0"/>
              <wp:positionH relativeFrom="column">
                <wp:posOffset>5468348</wp:posOffset>
              </wp:positionH>
              <wp:positionV relativeFrom="paragraph">
                <wp:posOffset>-221978</wp:posOffset>
              </wp:positionV>
              <wp:extent cx="955040" cy="626292"/>
              <wp:effectExtent l="0" t="0" r="0" b="2540"/>
              <wp:wrapNone/>
              <wp:docPr id="85947295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5040" cy="62629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805814" w14:textId="01A63CEC" w:rsidR="00712665" w:rsidRPr="00574A6E" w:rsidRDefault="00712665" w:rsidP="00A708D8">
                          <w:pPr>
                            <w:pStyle w:val="numpage"/>
                          </w:pPr>
                          <w:r w:rsidRPr="00574A6E">
                            <w:fldChar w:fldCharType="begin"/>
                          </w:r>
                          <w:r w:rsidRPr="00574A6E">
                            <w:instrText>PAGE   \* MERGEFORMAT</w:instrText>
                          </w:r>
                          <w:r w:rsidRPr="00574A6E">
                            <w:fldChar w:fldCharType="separate"/>
                          </w:r>
                          <w:r w:rsidR="00440420">
                            <w:rPr>
                              <w:noProof/>
                            </w:rPr>
                            <w:t>6</w:t>
                          </w:r>
                          <w:r w:rsidRPr="00574A6E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CC373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430.6pt;margin-top:-17.5pt;width:75.2pt;height:49.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" filled="f" stroked="f">
              <v:textbox>
                <w:txbxContent>
                  <w:p w14:paraId="02805814" w14:textId="01A63CEC" w:rsidR="00712665" w:rsidRPr="00574A6E" w:rsidRDefault="00712665" w:rsidP="00A708D8">
                    <w:pPr>
                      <w:pStyle w:val="numpage"/>
                    </w:pPr>
                    <w:r w:rsidRPr="00574A6E">
                      <w:fldChar w:fldCharType="begin"/>
                    </w:r>
                    <w:r w:rsidRPr="00574A6E">
                      <w:instrText>PAGE   \* MERGEFORMAT</w:instrText>
                    </w:r>
                    <w:r w:rsidRPr="00574A6E">
                      <w:fldChar w:fldCharType="separate"/>
                    </w:r>
                    <w:r w:rsidR="00440420">
                      <w:rPr>
                        <w:noProof/>
                      </w:rPr>
                      <w:t>6</w:t>
                    </w:r>
                    <w:r w:rsidRPr="00574A6E"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FC509" w14:textId="77777777" w:rsidR="003E72E8" w:rsidRDefault="003E72E8" w:rsidP="002E0F69">
      <w:pPr>
        <w:spacing w:after="0" w:line="240" w:lineRule="auto"/>
      </w:pPr>
      <w:r>
        <w:separator/>
      </w:r>
    </w:p>
  </w:footnote>
  <w:footnote w:type="continuationSeparator" w:id="0">
    <w:p w14:paraId="587EFF04" w14:textId="77777777" w:rsidR="003E72E8" w:rsidRDefault="003E72E8" w:rsidP="002E0F69">
      <w:pPr>
        <w:spacing w:after="0" w:line="240" w:lineRule="auto"/>
      </w:pPr>
      <w:r>
        <w:continuationSeparator/>
      </w:r>
    </w:p>
  </w:footnote>
  <w:footnote w:type="continuationNotice" w:id="1">
    <w:p w14:paraId="6C793341" w14:textId="77777777" w:rsidR="003E72E8" w:rsidRDefault="003E72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5DC2B" w14:textId="77777777" w:rsidR="00712665" w:rsidRDefault="00712665" w:rsidP="00A708D8">
    <w:pPr>
      <w:pStyle w:val="En-tte"/>
    </w:pPr>
  </w:p>
  <w:p w14:paraId="209C4ED7" w14:textId="77777777" w:rsidR="00F016C9" w:rsidRDefault="00F016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69E3CAA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4.05pt;height:424.05pt;visibility:visible;mso-wrap-style:square" o:bullet="t">
        <v:imagedata r:id="rId1" o:title=""/>
      </v:shape>
    </w:pict>
  </w:numPicBullet>
  <w:numPicBullet w:numPicBulletId="1">
    <w:pict>
      <v:shape id="_x0000_i1028" type="#_x0000_t75" style="width:424.05pt;height:425.35pt;visibility:visible;mso-wrap-style:square" o:bullet="t">
        <v:imagedata r:id="rId2" o:title=""/>
      </v:shape>
    </w:pict>
  </w:numPicBullet>
  <w:numPicBullet w:numPicBulletId="2">
    <w:pict>
      <v:shape id="_x0000_i1029" type="#_x0000_t75" style="width:424.05pt;height:424.05pt;visibility:visible;mso-wrap-style:square" o:bullet="t">
        <v:imagedata r:id="rId3" o:title=""/>
      </v:shape>
    </w:pict>
  </w:numPicBullet>
  <w:numPicBullet w:numPicBulletId="3">
    <w:pict>
      <v:shape id="_x0000_i1030" type="#_x0000_t75" style="width:424.05pt;height:425.35pt;visibility:visible;mso-wrap-style:square" o:bullet="t">
        <v:imagedata r:id="rId4" o:title=""/>
      </v:shape>
    </w:pict>
  </w:numPicBullet>
  <w:abstractNum w:abstractNumId="0" w15:restartNumberingAfterBreak="0">
    <w:nsid w:val="0F9E61F6"/>
    <w:multiLevelType w:val="multilevel"/>
    <w:tmpl w:val="ED907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9505BC"/>
    <w:multiLevelType w:val="hybridMultilevel"/>
    <w:tmpl w:val="E9EA3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2"/>
      </w:rPr>
    </w:lvl>
    <w:lvl w:ilvl="1" w:tplc="412EE896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  <w:sz w:val="20"/>
        <w:szCs w:val="22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16E45"/>
    <w:multiLevelType w:val="multilevel"/>
    <w:tmpl w:val="ECC85496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sz w:val="56"/>
        <w:szCs w:val="56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0904721"/>
    <w:multiLevelType w:val="hybridMultilevel"/>
    <w:tmpl w:val="B74215F8"/>
    <w:lvl w:ilvl="0" w:tplc="69C06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D2238"/>
    <w:multiLevelType w:val="hybridMultilevel"/>
    <w:tmpl w:val="783878AC"/>
    <w:lvl w:ilvl="0" w:tplc="36EEB4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A66AC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E05CD"/>
    <w:multiLevelType w:val="hybridMultilevel"/>
    <w:tmpl w:val="6FF20A32"/>
    <w:lvl w:ilvl="0" w:tplc="040C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4AC1004F"/>
    <w:multiLevelType w:val="hybridMultilevel"/>
    <w:tmpl w:val="CCE4DBA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5">
      <w:start w:val="1"/>
      <w:numFmt w:val="upp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034A9C"/>
    <w:multiLevelType w:val="hybridMultilevel"/>
    <w:tmpl w:val="30CA2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A05A27"/>
    <w:multiLevelType w:val="hybridMultilevel"/>
    <w:tmpl w:val="BEC414B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CE5FD4"/>
    <w:multiLevelType w:val="hybridMultilevel"/>
    <w:tmpl w:val="21AC0A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C32EA"/>
    <w:multiLevelType w:val="hybridMultilevel"/>
    <w:tmpl w:val="DBEA3E8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094332"/>
    <w:multiLevelType w:val="hybridMultilevel"/>
    <w:tmpl w:val="9B8613BA"/>
    <w:lvl w:ilvl="0" w:tplc="F9329A0E">
      <w:start w:val="1"/>
      <w:numFmt w:val="bullet"/>
      <w:pStyle w:val="PuceCamember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  <w:sz w:val="20"/>
        <w:szCs w:val="22"/>
      </w:rPr>
    </w:lvl>
    <w:lvl w:ilvl="1" w:tplc="412EE896">
      <w:start w:val="1"/>
      <w:numFmt w:val="bullet"/>
      <w:pStyle w:val="PuceD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  <w:sz w:val="20"/>
        <w:szCs w:val="22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BB7208"/>
    <w:multiLevelType w:val="hybridMultilevel"/>
    <w:tmpl w:val="54CED104"/>
    <w:lvl w:ilvl="0" w:tplc="3926D1A0">
      <w:start w:val="1"/>
      <w:numFmt w:val="decimal"/>
      <w:lvlText w:val="%1-"/>
      <w:lvlJc w:val="left"/>
      <w:pPr>
        <w:ind w:left="1070" w:hanging="710"/>
      </w:pPr>
      <w:rPr>
        <w:rFonts w:hint="default"/>
      </w:rPr>
    </w:lvl>
    <w:lvl w:ilvl="1" w:tplc="22103038">
      <w:start w:val="1"/>
      <w:numFmt w:val="upperLetter"/>
      <w:lvlText w:val="%2."/>
      <w:lvlJc w:val="left"/>
      <w:pPr>
        <w:ind w:left="1790" w:hanging="71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3F66BA"/>
    <w:multiLevelType w:val="hybridMultilevel"/>
    <w:tmpl w:val="7CFAE61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5343E"/>
    <w:multiLevelType w:val="hybridMultilevel"/>
    <w:tmpl w:val="DBFE2B0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422F7C"/>
    <w:multiLevelType w:val="hybridMultilevel"/>
    <w:tmpl w:val="9ED4AF0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B4263"/>
    <w:multiLevelType w:val="hybridMultilevel"/>
    <w:tmpl w:val="078E2E1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BC4783"/>
    <w:multiLevelType w:val="hybridMultilevel"/>
    <w:tmpl w:val="545E1BB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55B62C3"/>
    <w:multiLevelType w:val="multilevel"/>
    <w:tmpl w:val="5670A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59768B"/>
    <w:multiLevelType w:val="multilevel"/>
    <w:tmpl w:val="209EA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5E476E"/>
    <w:multiLevelType w:val="hybridMultilevel"/>
    <w:tmpl w:val="137001E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CF2E9D"/>
    <w:multiLevelType w:val="hybridMultilevel"/>
    <w:tmpl w:val="F15273D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4"/>
  </w:num>
  <w:num w:numId="5">
    <w:abstractNumId w:val="11"/>
  </w:num>
  <w:num w:numId="6">
    <w:abstractNumId w:val="2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2"/>
  </w:num>
  <w:num w:numId="24">
    <w:abstractNumId w:val="1"/>
  </w:num>
  <w:num w:numId="25">
    <w:abstractNumId w:val="16"/>
  </w:num>
  <w:num w:numId="26">
    <w:abstractNumId w:val="5"/>
  </w:num>
  <w:num w:numId="27">
    <w:abstractNumId w:val="7"/>
  </w:num>
  <w:num w:numId="28">
    <w:abstractNumId w:val="21"/>
  </w:num>
  <w:num w:numId="29">
    <w:abstractNumId w:val="8"/>
  </w:num>
  <w:num w:numId="30">
    <w:abstractNumId w:val="10"/>
  </w:num>
  <w:num w:numId="31">
    <w:abstractNumId w:val="17"/>
  </w:num>
  <w:num w:numId="32">
    <w:abstractNumId w:val="11"/>
  </w:num>
  <w:num w:numId="33">
    <w:abstractNumId w:val="2"/>
  </w:num>
  <w:num w:numId="34">
    <w:abstractNumId w:val="11"/>
  </w:num>
  <w:num w:numId="35">
    <w:abstractNumId w:val="15"/>
  </w:num>
  <w:num w:numId="36">
    <w:abstractNumId w:val="14"/>
  </w:num>
  <w:num w:numId="37">
    <w:abstractNumId w:val="20"/>
  </w:num>
  <w:num w:numId="38">
    <w:abstractNumId w:val="13"/>
  </w:num>
  <w:num w:numId="39">
    <w:abstractNumId w:val="19"/>
  </w:num>
  <w:num w:numId="40">
    <w:abstractNumId w:val="0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9E8"/>
    <w:rsid w:val="000043ED"/>
    <w:rsid w:val="00021E72"/>
    <w:rsid w:val="0003296E"/>
    <w:rsid w:val="00036AE4"/>
    <w:rsid w:val="00052A50"/>
    <w:rsid w:val="00057622"/>
    <w:rsid w:val="000609E9"/>
    <w:rsid w:val="000725FE"/>
    <w:rsid w:val="00085B1A"/>
    <w:rsid w:val="00087C81"/>
    <w:rsid w:val="00094058"/>
    <w:rsid w:val="000A0645"/>
    <w:rsid w:val="000A0AC9"/>
    <w:rsid w:val="000A5AAE"/>
    <w:rsid w:val="000B3548"/>
    <w:rsid w:val="000B6594"/>
    <w:rsid w:val="000C49A2"/>
    <w:rsid w:val="000C7682"/>
    <w:rsid w:val="000D18E4"/>
    <w:rsid w:val="000D4462"/>
    <w:rsid w:val="000D7846"/>
    <w:rsid w:val="000E3633"/>
    <w:rsid w:val="000F252C"/>
    <w:rsid w:val="000F411D"/>
    <w:rsid w:val="00101610"/>
    <w:rsid w:val="00102131"/>
    <w:rsid w:val="0010480E"/>
    <w:rsid w:val="00117A1A"/>
    <w:rsid w:val="00142244"/>
    <w:rsid w:val="00143DAB"/>
    <w:rsid w:val="00150985"/>
    <w:rsid w:val="0015183D"/>
    <w:rsid w:val="0015565F"/>
    <w:rsid w:val="001605E1"/>
    <w:rsid w:val="00166E9D"/>
    <w:rsid w:val="001676B8"/>
    <w:rsid w:val="00171430"/>
    <w:rsid w:val="00173EB0"/>
    <w:rsid w:val="00193FA0"/>
    <w:rsid w:val="001B1EDC"/>
    <w:rsid w:val="001B5617"/>
    <w:rsid w:val="001B60D6"/>
    <w:rsid w:val="001B7332"/>
    <w:rsid w:val="001D28F0"/>
    <w:rsid w:val="001E3BB8"/>
    <w:rsid w:val="001E7EF1"/>
    <w:rsid w:val="001F3C02"/>
    <w:rsid w:val="001F5138"/>
    <w:rsid w:val="00200CC8"/>
    <w:rsid w:val="002131FA"/>
    <w:rsid w:val="00220952"/>
    <w:rsid w:val="0022151F"/>
    <w:rsid w:val="002235BD"/>
    <w:rsid w:val="00227324"/>
    <w:rsid w:val="002458C7"/>
    <w:rsid w:val="00252B32"/>
    <w:rsid w:val="00257D1F"/>
    <w:rsid w:val="0026017C"/>
    <w:rsid w:val="0026760B"/>
    <w:rsid w:val="00276510"/>
    <w:rsid w:val="00280641"/>
    <w:rsid w:val="00290210"/>
    <w:rsid w:val="002A6788"/>
    <w:rsid w:val="002D4D39"/>
    <w:rsid w:val="002D7C27"/>
    <w:rsid w:val="002E0F69"/>
    <w:rsid w:val="002E13C0"/>
    <w:rsid w:val="002E2C36"/>
    <w:rsid w:val="002E3BFC"/>
    <w:rsid w:val="002F1416"/>
    <w:rsid w:val="002F2C23"/>
    <w:rsid w:val="002F6DEC"/>
    <w:rsid w:val="0030494B"/>
    <w:rsid w:val="00314473"/>
    <w:rsid w:val="003334DD"/>
    <w:rsid w:val="003357C7"/>
    <w:rsid w:val="003441D0"/>
    <w:rsid w:val="0037054A"/>
    <w:rsid w:val="00387915"/>
    <w:rsid w:val="00387BEC"/>
    <w:rsid w:val="003A2030"/>
    <w:rsid w:val="003A7CB7"/>
    <w:rsid w:val="003C57A6"/>
    <w:rsid w:val="003D5240"/>
    <w:rsid w:val="003D71C9"/>
    <w:rsid w:val="003D7B48"/>
    <w:rsid w:val="003E17E6"/>
    <w:rsid w:val="003E5F74"/>
    <w:rsid w:val="003E60DC"/>
    <w:rsid w:val="003E72E8"/>
    <w:rsid w:val="00410001"/>
    <w:rsid w:val="00417E46"/>
    <w:rsid w:val="0043061A"/>
    <w:rsid w:val="00437762"/>
    <w:rsid w:val="00440420"/>
    <w:rsid w:val="00453A2A"/>
    <w:rsid w:val="00462680"/>
    <w:rsid w:val="00470CDE"/>
    <w:rsid w:val="004C5CDA"/>
    <w:rsid w:val="004D0666"/>
    <w:rsid w:val="0051268F"/>
    <w:rsid w:val="00522AE2"/>
    <w:rsid w:val="0054170B"/>
    <w:rsid w:val="00543E64"/>
    <w:rsid w:val="005650A4"/>
    <w:rsid w:val="00571528"/>
    <w:rsid w:val="00574A6E"/>
    <w:rsid w:val="00576519"/>
    <w:rsid w:val="00587D53"/>
    <w:rsid w:val="005A6288"/>
    <w:rsid w:val="005B133C"/>
    <w:rsid w:val="005B5BDC"/>
    <w:rsid w:val="005C2F67"/>
    <w:rsid w:val="005C688D"/>
    <w:rsid w:val="005D2415"/>
    <w:rsid w:val="005D69F0"/>
    <w:rsid w:val="005F1A0A"/>
    <w:rsid w:val="0060096A"/>
    <w:rsid w:val="00605619"/>
    <w:rsid w:val="006079FD"/>
    <w:rsid w:val="006121C6"/>
    <w:rsid w:val="0064519E"/>
    <w:rsid w:val="00652365"/>
    <w:rsid w:val="00657203"/>
    <w:rsid w:val="0065734B"/>
    <w:rsid w:val="00683321"/>
    <w:rsid w:val="00683B5F"/>
    <w:rsid w:val="0068648A"/>
    <w:rsid w:val="00694E18"/>
    <w:rsid w:val="0069553B"/>
    <w:rsid w:val="006A31D0"/>
    <w:rsid w:val="006A67D0"/>
    <w:rsid w:val="006B26DE"/>
    <w:rsid w:val="006C1035"/>
    <w:rsid w:val="006C1C4F"/>
    <w:rsid w:val="006C4866"/>
    <w:rsid w:val="006D27D5"/>
    <w:rsid w:val="006D5891"/>
    <w:rsid w:val="006D5A01"/>
    <w:rsid w:val="006E112A"/>
    <w:rsid w:val="006F1A8A"/>
    <w:rsid w:val="007059FE"/>
    <w:rsid w:val="00712665"/>
    <w:rsid w:val="00716A1F"/>
    <w:rsid w:val="00730D99"/>
    <w:rsid w:val="00733EAD"/>
    <w:rsid w:val="00737347"/>
    <w:rsid w:val="0076129A"/>
    <w:rsid w:val="0076286F"/>
    <w:rsid w:val="00763C27"/>
    <w:rsid w:val="0077049A"/>
    <w:rsid w:val="0077122E"/>
    <w:rsid w:val="00781979"/>
    <w:rsid w:val="007875FD"/>
    <w:rsid w:val="007963F2"/>
    <w:rsid w:val="007A2695"/>
    <w:rsid w:val="007A2ECE"/>
    <w:rsid w:val="007D1C24"/>
    <w:rsid w:val="007D356E"/>
    <w:rsid w:val="007D4F5C"/>
    <w:rsid w:val="007E24A7"/>
    <w:rsid w:val="007F01D1"/>
    <w:rsid w:val="007F23FE"/>
    <w:rsid w:val="007F5BD6"/>
    <w:rsid w:val="007F6C89"/>
    <w:rsid w:val="00802205"/>
    <w:rsid w:val="00803564"/>
    <w:rsid w:val="008147EF"/>
    <w:rsid w:val="0083113A"/>
    <w:rsid w:val="00840756"/>
    <w:rsid w:val="0085195D"/>
    <w:rsid w:val="00864289"/>
    <w:rsid w:val="00867FF0"/>
    <w:rsid w:val="00877851"/>
    <w:rsid w:val="008A10DC"/>
    <w:rsid w:val="008A3320"/>
    <w:rsid w:val="008B0171"/>
    <w:rsid w:val="008B39AA"/>
    <w:rsid w:val="008D4523"/>
    <w:rsid w:val="008D618A"/>
    <w:rsid w:val="008E1BD7"/>
    <w:rsid w:val="008F00F8"/>
    <w:rsid w:val="008F3779"/>
    <w:rsid w:val="0090098E"/>
    <w:rsid w:val="00915B9C"/>
    <w:rsid w:val="00923E65"/>
    <w:rsid w:val="00933F01"/>
    <w:rsid w:val="009371F6"/>
    <w:rsid w:val="009378BB"/>
    <w:rsid w:val="00944F43"/>
    <w:rsid w:val="00945EB7"/>
    <w:rsid w:val="00950FCD"/>
    <w:rsid w:val="00960F20"/>
    <w:rsid w:val="00964391"/>
    <w:rsid w:val="00970A02"/>
    <w:rsid w:val="00975246"/>
    <w:rsid w:val="0098066B"/>
    <w:rsid w:val="009A7377"/>
    <w:rsid w:val="009D13B7"/>
    <w:rsid w:val="009D5C1E"/>
    <w:rsid w:val="009D6B97"/>
    <w:rsid w:val="009E1132"/>
    <w:rsid w:val="009E1C94"/>
    <w:rsid w:val="009E3DC6"/>
    <w:rsid w:val="00A0015A"/>
    <w:rsid w:val="00A131A2"/>
    <w:rsid w:val="00A13324"/>
    <w:rsid w:val="00A1759C"/>
    <w:rsid w:val="00A376B8"/>
    <w:rsid w:val="00A467A1"/>
    <w:rsid w:val="00A65F48"/>
    <w:rsid w:val="00A66394"/>
    <w:rsid w:val="00A67865"/>
    <w:rsid w:val="00A708D8"/>
    <w:rsid w:val="00A72410"/>
    <w:rsid w:val="00A84CCE"/>
    <w:rsid w:val="00A947F3"/>
    <w:rsid w:val="00A96B26"/>
    <w:rsid w:val="00AD1B9B"/>
    <w:rsid w:val="00AE38BD"/>
    <w:rsid w:val="00AE391B"/>
    <w:rsid w:val="00AF2F80"/>
    <w:rsid w:val="00AF30FB"/>
    <w:rsid w:val="00AF35F9"/>
    <w:rsid w:val="00B05214"/>
    <w:rsid w:val="00B11779"/>
    <w:rsid w:val="00B45016"/>
    <w:rsid w:val="00B52903"/>
    <w:rsid w:val="00B57830"/>
    <w:rsid w:val="00B61F5F"/>
    <w:rsid w:val="00B75C47"/>
    <w:rsid w:val="00B76D07"/>
    <w:rsid w:val="00B85266"/>
    <w:rsid w:val="00BA10CC"/>
    <w:rsid w:val="00BB5BB8"/>
    <w:rsid w:val="00BD24EF"/>
    <w:rsid w:val="00BD65FE"/>
    <w:rsid w:val="00BD720A"/>
    <w:rsid w:val="00BE1748"/>
    <w:rsid w:val="00BF0DC7"/>
    <w:rsid w:val="00C00D8F"/>
    <w:rsid w:val="00C01968"/>
    <w:rsid w:val="00C17621"/>
    <w:rsid w:val="00C22DE5"/>
    <w:rsid w:val="00C2377D"/>
    <w:rsid w:val="00C34B23"/>
    <w:rsid w:val="00C455A9"/>
    <w:rsid w:val="00C46829"/>
    <w:rsid w:val="00C51F36"/>
    <w:rsid w:val="00C5349E"/>
    <w:rsid w:val="00C55A31"/>
    <w:rsid w:val="00C73DDE"/>
    <w:rsid w:val="00C80C77"/>
    <w:rsid w:val="00C83C2D"/>
    <w:rsid w:val="00C8576C"/>
    <w:rsid w:val="00C8606A"/>
    <w:rsid w:val="00C87506"/>
    <w:rsid w:val="00C972C6"/>
    <w:rsid w:val="00CA253A"/>
    <w:rsid w:val="00CA2DE1"/>
    <w:rsid w:val="00CB22D8"/>
    <w:rsid w:val="00CB3BB1"/>
    <w:rsid w:val="00CB6DA9"/>
    <w:rsid w:val="00CB6F2E"/>
    <w:rsid w:val="00CD0CD7"/>
    <w:rsid w:val="00CD1707"/>
    <w:rsid w:val="00CD1EF5"/>
    <w:rsid w:val="00CD5214"/>
    <w:rsid w:val="00CE1C20"/>
    <w:rsid w:val="00D038B7"/>
    <w:rsid w:val="00D03FEB"/>
    <w:rsid w:val="00D059A0"/>
    <w:rsid w:val="00D06E49"/>
    <w:rsid w:val="00D1386C"/>
    <w:rsid w:val="00D16744"/>
    <w:rsid w:val="00D378DF"/>
    <w:rsid w:val="00D422E1"/>
    <w:rsid w:val="00D47ECA"/>
    <w:rsid w:val="00D614F9"/>
    <w:rsid w:val="00D64E20"/>
    <w:rsid w:val="00D74353"/>
    <w:rsid w:val="00D80A36"/>
    <w:rsid w:val="00D81281"/>
    <w:rsid w:val="00D90441"/>
    <w:rsid w:val="00D90599"/>
    <w:rsid w:val="00D91D0B"/>
    <w:rsid w:val="00D94286"/>
    <w:rsid w:val="00DA29E8"/>
    <w:rsid w:val="00DA701E"/>
    <w:rsid w:val="00DB1DA2"/>
    <w:rsid w:val="00DC3323"/>
    <w:rsid w:val="00DC78FA"/>
    <w:rsid w:val="00DD71EB"/>
    <w:rsid w:val="00DF5743"/>
    <w:rsid w:val="00E01225"/>
    <w:rsid w:val="00E1609B"/>
    <w:rsid w:val="00E1649F"/>
    <w:rsid w:val="00E31FA9"/>
    <w:rsid w:val="00E32555"/>
    <w:rsid w:val="00E366F1"/>
    <w:rsid w:val="00E36B76"/>
    <w:rsid w:val="00E42ABA"/>
    <w:rsid w:val="00E43808"/>
    <w:rsid w:val="00E45D5E"/>
    <w:rsid w:val="00E475A2"/>
    <w:rsid w:val="00E4775D"/>
    <w:rsid w:val="00E52C45"/>
    <w:rsid w:val="00E60456"/>
    <w:rsid w:val="00E613A2"/>
    <w:rsid w:val="00E62AA9"/>
    <w:rsid w:val="00E6405C"/>
    <w:rsid w:val="00E7047A"/>
    <w:rsid w:val="00E75B7A"/>
    <w:rsid w:val="00E8301C"/>
    <w:rsid w:val="00E917E2"/>
    <w:rsid w:val="00E92A14"/>
    <w:rsid w:val="00EB20EE"/>
    <w:rsid w:val="00EC2C5D"/>
    <w:rsid w:val="00ED2284"/>
    <w:rsid w:val="00ED7B3D"/>
    <w:rsid w:val="00EE02F8"/>
    <w:rsid w:val="00EF47CC"/>
    <w:rsid w:val="00EF5939"/>
    <w:rsid w:val="00F016C9"/>
    <w:rsid w:val="00F018C9"/>
    <w:rsid w:val="00F15E44"/>
    <w:rsid w:val="00F16E8C"/>
    <w:rsid w:val="00F4184F"/>
    <w:rsid w:val="00F44E6A"/>
    <w:rsid w:val="00F46AE1"/>
    <w:rsid w:val="00F5604B"/>
    <w:rsid w:val="00F73345"/>
    <w:rsid w:val="00F85D97"/>
    <w:rsid w:val="00F9001A"/>
    <w:rsid w:val="00F91006"/>
    <w:rsid w:val="00F94D14"/>
    <w:rsid w:val="00FA37F9"/>
    <w:rsid w:val="00FC4D4E"/>
    <w:rsid w:val="00FE6756"/>
    <w:rsid w:val="00FE7781"/>
    <w:rsid w:val="00FF053B"/>
    <w:rsid w:val="00FF13C5"/>
    <w:rsid w:val="00FF2DB1"/>
    <w:rsid w:val="00FF32E3"/>
    <w:rsid w:val="0C81E161"/>
    <w:rsid w:val="0E210A8D"/>
    <w:rsid w:val="174ABF10"/>
    <w:rsid w:val="18F5C558"/>
    <w:rsid w:val="199BB04D"/>
    <w:rsid w:val="1E5B56D0"/>
    <w:rsid w:val="22B4FCB8"/>
    <w:rsid w:val="2834AE4D"/>
    <w:rsid w:val="30039295"/>
    <w:rsid w:val="33EB1A90"/>
    <w:rsid w:val="350A3E4A"/>
    <w:rsid w:val="3649BA20"/>
    <w:rsid w:val="3B31E764"/>
    <w:rsid w:val="3C481A30"/>
    <w:rsid w:val="3E555A2D"/>
    <w:rsid w:val="4180F1F3"/>
    <w:rsid w:val="41F87A06"/>
    <w:rsid w:val="4C97F716"/>
    <w:rsid w:val="5006DAD3"/>
    <w:rsid w:val="5333F68B"/>
    <w:rsid w:val="5338374B"/>
    <w:rsid w:val="632A4934"/>
    <w:rsid w:val="69D5D106"/>
    <w:rsid w:val="6F29E6D2"/>
    <w:rsid w:val="75C0EA08"/>
    <w:rsid w:val="77EB0275"/>
    <w:rsid w:val="79B364DF"/>
    <w:rsid w:val="7BD25C98"/>
    <w:rsid w:val="7C888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611F01"/>
  <w15:chartTrackingRefBased/>
  <w15:docId w15:val="{D137002A-15F4-42F5-85BD-7F2D02BE0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6B97"/>
    <w:pPr>
      <w:jc w:val="both"/>
    </w:pPr>
    <w:rPr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3D5240"/>
    <w:pPr>
      <w:keepNext/>
      <w:keepLines/>
      <w:numPr>
        <w:numId w:val="1"/>
      </w:numPr>
      <w:shd w:val="clear" w:color="auto" w:fill="767CC3" w:themeFill="text2" w:themeFillTint="80"/>
      <w:spacing w:before="160" w:after="240"/>
      <w:outlineLvl w:val="0"/>
    </w:pPr>
    <w:rPr>
      <w:rFonts w:asciiTheme="majorHAnsi" w:eastAsiaTheme="majorEastAsia" w:hAnsiTheme="majorHAnsi" w:cstheme="majorBidi"/>
      <w:b/>
      <w:caps/>
      <w:color w:val="031127" w:themeColor="background2" w:themeShade="1A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50FCD"/>
    <w:pPr>
      <w:keepNext/>
      <w:keepLines/>
      <w:numPr>
        <w:ilvl w:val="1"/>
        <w:numId w:val="1"/>
      </w:numPr>
      <w:pBdr>
        <w:bottom w:val="single" w:sz="6" w:space="1" w:color="5AA2AE" w:themeColor="accent5"/>
      </w:pBdr>
      <w:spacing w:before="160" w:after="80"/>
      <w:outlineLvl w:val="1"/>
    </w:pPr>
    <w:rPr>
      <w:rFonts w:ascii="Aptos" w:eastAsiaTheme="majorEastAsia" w:hAnsi="Aptos" w:cstheme="majorBidi"/>
      <w:b/>
      <w:color w:val="5AA2AE" w:themeColor="accent5"/>
      <w:sz w:val="28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50FCD"/>
    <w:pPr>
      <w:keepNext/>
      <w:keepLines/>
      <w:numPr>
        <w:ilvl w:val="2"/>
        <w:numId w:val="1"/>
      </w:numPr>
      <w:spacing w:before="80" w:after="40"/>
      <w:outlineLvl w:val="2"/>
    </w:pPr>
    <w:rPr>
      <w:rFonts w:ascii="Aptos" w:eastAsiaTheme="majorEastAsia" w:hAnsi="Aptos" w:cstheme="majorBidi"/>
      <w:i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50FCD"/>
    <w:pPr>
      <w:keepNext/>
      <w:keepLines/>
      <w:numPr>
        <w:ilvl w:val="3"/>
        <w:numId w:val="1"/>
      </w:numPr>
      <w:spacing w:before="80" w:after="40"/>
      <w:outlineLvl w:val="3"/>
    </w:pPr>
    <w:rPr>
      <w:rFonts w:ascii="Aptos" w:eastAsiaTheme="majorEastAsia" w:hAnsi="Aptos" w:cstheme="majorBidi"/>
      <w:iCs/>
      <w:color w:val="374C80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2E0F69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374C80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E0F69"/>
    <w:pPr>
      <w:keepNext/>
      <w:keepLines/>
      <w:numPr>
        <w:ilvl w:val="5"/>
        <w:numId w:val="1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E0F69"/>
    <w:pPr>
      <w:keepNext/>
      <w:keepLines/>
      <w:numPr>
        <w:ilvl w:val="6"/>
        <w:numId w:val="1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E0F69"/>
    <w:pPr>
      <w:keepNext/>
      <w:keepLines/>
      <w:numPr>
        <w:ilvl w:val="7"/>
        <w:numId w:val="1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E0F69"/>
    <w:pPr>
      <w:keepNext/>
      <w:keepLines/>
      <w:numPr>
        <w:ilvl w:val="8"/>
        <w:numId w:val="1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D5240"/>
    <w:rPr>
      <w:rFonts w:asciiTheme="majorHAnsi" w:eastAsiaTheme="majorEastAsia" w:hAnsiTheme="majorHAnsi" w:cstheme="majorBidi"/>
      <w:b/>
      <w:caps/>
      <w:color w:val="031127" w:themeColor="background2" w:themeShade="1A"/>
      <w:sz w:val="32"/>
      <w:szCs w:val="40"/>
      <w:shd w:val="clear" w:color="auto" w:fill="767CC3" w:themeFill="text2" w:themeFillTint="80"/>
    </w:rPr>
  </w:style>
  <w:style w:type="character" w:customStyle="1" w:styleId="Titre2Car">
    <w:name w:val="Titre 2 Car"/>
    <w:basedOn w:val="Policepardfaut"/>
    <w:link w:val="Titre2"/>
    <w:uiPriority w:val="9"/>
    <w:rsid w:val="00950FCD"/>
    <w:rPr>
      <w:rFonts w:ascii="Aptos" w:eastAsiaTheme="majorEastAsia" w:hAnsi="Aptos" w:cstheme="majorBidi"/>
      <w:b/>
      <w:color w:val="5AA2AE" w:themeColor="accent5"/>
      <w:sz w:val="28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950FCD"/>
    <w:rPr>
      <w:rFonts w:ascii="Aptos" w:eastAsiaTheme="majorEastAsia" w:hAnsi="Aptos" w:cstheme="majorBidi"/>
      <w:i/>
      <w:sz w:val="22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950FCD"/>
    <w:rPr>
      <w:rFonts w:ascii="Aptos" w:eastAsiaTheme="majorEastAsia" w:hAnsi="Aptos" w:cstheme="majorBidi"/>
      <w:iCs/>
      <w:color w:val="374C80" w:themeColor="accent1" w:themeShade="BF"/>
      <w:sz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2E0F69"/>
    <w:rPr>
      <w:rFonts w:eastAsiaTheme="majorEastAsia" w:cstheme="majorBidi"/>
      <w:color w:val="374C80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E0F6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E0F6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E0F6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E0F6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5195D"/>
    <w:pPr>
      <w:spacing w:after="80" w:line="240" w:lineRule="auto"/>
      <w:ind w:left="909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85195D"/>
    <w:rPr>
      <w:rFonts w:asciiTheme="majorHAnsi" w:eastAsiaTheme="majorEastAsia" w:hAnsiTheme="majorHAnsi" w:cstheme="majorBidi"/>
      <w:spacing w:val="-10"/>
      <w:kern w:val="28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1386C"/>
    <w:pPr>
      <w:spacing w:after="0" w:line="240" w:lineRule="auto"/>
      <w:ind w:left="1310"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ous-titreCar">
    <w:name w:val="Sous-titre Car"/>
    <w:basedOn w:val="Policepardfaut"/>
    <w:link w:val="Sous-titre"/>
    <w:uiPriority w:val="11"/>
    <w:rsid w:val="00D138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itation">
    <w:name w:val="Quote"/>
    <w:basedOn w:val="Normal"/>
    <w:next w:val="Normal"/>
    <w:link w:val="CitationCar"/>
    <w:uiPriority w:val="29"/>
    <w:qFormat/>
    <w:rsid w:val="002E0F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E0F6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E0F6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E0F69"/>
    <w:rPr>
      <w:i/>
      <w:iCs/>
      <w:color w:val="374C80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E0F69"/>
    <w:pPr>
      <w:pBdr>
        <w:top w:val="single" w:sz="4" w:space="10" w:color="374C80" w:themeColor="accent1" w:themeShade="BF"/>
        <w:bottom w:val="single" w:sz="4" w:space="10" w:color="374C80" w:themeColor="accent1" w:themeShade="BF"/>
      </w:pBdr>
      <w:spacing w:before="360" w:after="360"/>
      <w:ind w:left="864" w:right="864"/>
      <w:jc w:val="center"/>
    </w:pPr>
    <w:rPr>
      <w:i/>
      <w:iCs/>
      <w:color w:val="374C80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E0F69"/>
    <w:rPr>
      <w:i/>
      <w:iCs/>
      <w:color w:val="374C80" w:themeColor="accent1" w:themeShade="BF"/>
    </w:rPr>
  </w:style>
  <w:style w:type="character" w:styleId="Rfrenceintense">
    <w:name w:val="Intense Reference"/>
    <w:basedOn w:val="Policepardfaut"/>
    <w:uiPriority w:val="32"/>
    <w:qFormat/>
    <w:rsid w:val="002E0F69"/>
    <w:rPr>
      <w:b/>
      <w:bCs/>
      <w:smallCaps/>
      <w:color w:val="374C80" w:themeColor="accent1" w:themeShade="BF"/>
      <w:spacing w:val="5"/>
    </w:rPr>
  </w:style>
  <w:style w:type="paragraph" w:styleId="Sansinterligne">
    <w:name w:val="No Spacing"/>
    <w:link w:val="SansinterligneCar"/>
    <w:uiPriority w:val="1"/>
    <w:qFormat/>
    <w:rsid w:val="002E0F69"/>
    <w:pPr>
      <w:spacing w:after="0" w:line="240" w:lineRule="auto"/>
    </w:pPr>
    <w:rPr>
      <w:rFonts w:eastAsiaTheme="minorEastAsia"/>
      <w:kern w:val="0"/>
      <w:sz w:val="22"/>
      <w:szCs w:val="22"/>
      <w:lang w:eastAsia="fr-FR"/>
      <w14:ligatures w14:val="non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E0F69"/>
    <w:rPr>
      <w:rFonts w:eastAsiaTheme="minorEastAsia"/>
      <w:kern w:val="0"/>
      <w:sz w:val="22"/>
      <w:szCs w:val="22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A708D8"/>
    <w:pPr>
      <w:tabs>
        <w:tab w:val="center" w:pos="4536"/>
        <w:tab w:val="right" w:pos="9072"/>
      </w:tabs>
      <w:spacing w:after="0" w:line="240" w:lineRule="auto"/>
      <w:jc w:val="left"/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A708D8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A708D8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A708D8"/>
    <w:rPr>
      <w:sz w:val="20"/>
    </w:rPr>
  </w:style>
  <w:style w:type="table" w:styleId="Grilledutableau">
    <w:name w:val="Table Grid"/>
    <w:basedOn w:val="TableauNormal"/>
    <w:uiPriority w:val="39"/>
    <w:rsid w:val="00EC2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ge">
    <w:name w:val="num_page"/>
    <w:qFormat/>
    <w:rsid w:val="00A708D8"/>
    <w:pPr>
      <w:jc w:val="center"/>
    </w:pPr>
    <w:rPr>
      <w:b/>
      <w:bCs/>
      <w:sz w:val="28"/>
      <w:szCs w:val="28"/>
    </w:rPr>
  </w:style>
  <w:style w:type="table" w:styleId="TableauListe4-Accentuation2">
    <w:name w:val="List Table 4 Accent 2"/>
    <w:basedOn w:val="TableauNormal"/>
    <w:uiPriority w:val="49"/>
    <w:rsid w:val="002F2C23"/>
    <w:pPr>
      <w:spacing w:after="0" w:line="240" w:lineRule="auto"/>
    </w:pPr>
    <w:tblPr>
      <w:tblStyleRowBandSize w:val="1"/>
      <w:tblStyleColBandSize w:val="1"/>
      <w:tblBorders>
        <w:top w:val="single" w:sz="4" w:space="0" w:color="A0C3E3" w:themeColor="accent2" w:themeTint="99"/>
        <w:left w:val="single" w:sz="4" w:space="0" w:color="A0C3E3" w:themeColor="accent2" w:themeTint="99"/>
        <w:bottom w:val="single" w:sz="4" w:space="0" w:color="A0C3E3" w:themeColor="accent2" w:themeTint="99"/>
        <w:right w:val="single" w:sz="4" w:space="0" w:color="A0C3E3" w:themeColor="accent2" w:themeTint="99"/>
        <w:insideH w:val="single" w:sz="4" w:space="0" w:color="A0C3E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9DD1" w:themeColor="accent2"/>
          <w:left w:val="single" w:sz="4" w:space="0" w:color="629DD1" w:themeColor="accent2"/>
          <w:bottom w:val="single" w:sz="4" w:space="0" w:color="629DD1" w:themeColor="accent2"/>
          <w:right w:val="single" w:sz="4" w:space="0" w:color="629DD1" w:themeColor="accent2"/>
          <w:insideH w:val="nil"/>
        </w:tcBorders>
        <w:shd w:val="clear" w:color="auto" w:fill="629DD1" w:themeFill="accent2"/>
      </w:tcPr>
    </w:tblStylePr>
    <w:tblStylePr w:type="lastRow">
      <w:rPr>
        <w:b/>
        <w:bCs/>
      </w:rPr>
      <w:tblPr/>
      <w:tcPr>
        <w:tcBorders>
          <w:top w:val="double" w:sz="4" w:space="0" w:color="A0C3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table" w:styleId="TableauListe4-Accentuation3">
    <w:name w:val="List Table 4 Accent 3"/>
    <w:basedOn w:val="TableauNormal"/>
    <w:uiPriority w:val="49"/>
    <w:rsid w:val="002F2C23"/>
    <w:pPr>
      <w:spacing w:after="0" w:line="240" w:lineRule="auto"/>
    </w:pPr>
    <w:tblPr>
      <w:tblStyleRowBandSize w:val="1"/>
      <w:tblStyleColBandSize w:val="1"/>
      <w:tblBorders>
        <w:top w:val="single" w:sz="4" w:space="0" w:color="7EB1E6" w:themeColor="accent3" w:themeTint="99"/>
        <w:left w:val="single" w:sz="4" w:space="0" w:color="7EB1E6" w:themeColor="accent3" w:themeTint="99"/>
        <w:bottom w:val="single" w:sz="4" w:space="0" w:color="7EB1E6" w:themeColor="accent3" w:themeTint="99"/>
        <w:right w:val="single" w:sz="4" w:space="0" w:color="7EB1E6" w:themeColor="accent3" w:themeTint="99"/>
        <w:insideH w:val="single" w:sz="4" w:space="0" w:color="7EB1E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97FD5" w:themeColor="accent3"/>
          <w:left w:val="single" w:sz="4" w:space="0" w:color="297FD5" w:themeColor="accent3"/>
          <w:bottom w:val="single" w:sz="4" w:space="0" w:color="297FD5" w:themeColor="accent3"/>
          <w:right w:val="single" w:sz="4" w:space="0" w:color="297FD5" w:themeColor="accent3"/>
          <w:insideH w:val="nil"/>
        </w:tcBorders>
        <w:shd w:val="clear" w:color="auto" w:fill="297FD5" w:themeFill="accent3"/>
      </w:tcPr>
    </w:tblStylePr>
    <w:tblStylePr w:type="lastRow">
      <w:rPr>
        <w:b/>
        <w:bCs/>
      </w:rPr>
      <w:tblPr/>
      <w:tcPr>
        <w:tcBorders>
          <w:top w:val="double" w:sz="4" w:space="0" w:color="7EB1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</w:style>
  <w:style w:type="table" w:styleId="TableauGrille5Fonc-Accentuation3">
    <w:name w:val="Grid Table 5 Dark Accent 3"/>
    <w:basedOn w:val="TableauNormal"/>
    <w:uiPriority w:val="50"/>
    <w:rsid w:val="002F2C2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3E5F6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97FD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97FD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97FD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97FD5" w:themeFill="accent3"/>
      </w:tcPr>
    </w:tblStylePr>
    <w:tblStylePr w:type="band1Vert">
      <w:tblPr/>
      <w:tcPr>
        <w:shd w:val="clear" w:color="auto" w:fill="A8CBEE" w:themeFill="accent3" w:themeFillTint="66"/>
      </w:tcPr>
    </w:tblStylePr>
    <w:tblStylePr w:type="band1Horz">
      <w:tblPr/>
      <w:tcPr>
        <w:shd w:val="clear" w:color="auto" w:fill="A8CBEE" w:themeFill="accent3" w:themeFillTint="66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574A6E"/>
    <w:pPr>
      <w:shd w:val="clear" w:color="auto" w:fill="7F8FA9" w:themeFill="accent4"/>
      <w:tabs>
        <w:tab w:val="left" w:pos="358"/>
        <w:tab w:val="right" w:pos="9062"/>
      </w:tabs>
      <w:spacing w:before="120" w:after="120"/>
      <w:jc w:val="left"/>
    </w:pPr>
    <w:rPr>
      <w:b/>
      <w:bCs/>
      <w:caps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712665"/>
    <w:pPr>
      <w:tabs>
        <w:tab w:val="left" w:pos="541"/>
        <w:tab w:val="right" w:pos="9062"/>
      </w:tabs>
      <w:spacing w:before="120" w:after="0"/>
      <w:jc w:val="left"/>
    </w:pPr>
    <w:rPr>
      <w:b/>
      <w:bCs/>
      <w:smallCaps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A96B26"/>
    <w:pPr>
      <w:spacing w:after="0"/>
      <w:jc w:val="left"/>
    </w:pPr>
    <w:rPr>
      <w:smallCaps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A96B26"/>
    <w:pPr>
      <w:spacing w:after="0"/>
      <w:jc w:val="left"/>
    </w:pPr>
    <w:rPr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A96B26"/>
    <w:pPr>
      <w:spacing w:after="0"/>
      <w:jc w:val="left"/>
    </w:pPr>
    <w:rPr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A96B26"/>
    <w:pPr>
      <w:spacing w:after="0"/>
      <w:jc w:val="left"/>
    </w:pPr>
    <w:rPr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A96B26"/>
    <w:pPr>
      <w:spacing w:after="0"/>
      <w:jc w:val="left"/>
    </w:pPr>
    <w:rPr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A96B26"/>
    <w:pPr>
      <w:spacing w:after="0"/>
      <w:jc w:val="left"/>
    </w:pPr>
    <w:rPr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A96B26"/>
    <w:pPr>
      <w:spacing w:after="0"/>
      <w:jc w:val="left"/>
    </w:pPr>
    <w:rPr>
      <w:szCs w:val="22"/>
    </w:rPr>
  </w:style>
  <w:style w:type="character" w:styleId="Lienhypertexte">
    <w:name w:val="Hyperlink"/>
    <w:basedOn w:val="Policepardfaut"/>
    <w:uiPriority w:val="99"/>
    <w:unhideWhenUsed/>
    <w:rsid w:val="00A96B26"/>
    <w:rPr>
      <w:color w:val="9454C3" w:themeColor="hyperlink"/>
      <w:u w:val="single"/>
    </w:rPr>
  </w:style>
  <w:style w:type="table" w:styleId="TableauGrille5Fonc-Accentuation1">
    <w:name w:val="Grid Table 5 Dark Accent 1"/>
    <w:basedOn w:val="TableauNormal"/>
    <w:uiPriority w:val="50"/>
    <w:rsid w:val="00574A6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DF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66A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66A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A66A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A66AC" w:themeFill="accent1"/>
      </w:tcPr>
    </w:tblStylePr>
    <w:tblStylePr w:type="band1Vert">
      <w:tblPr/>
      <w:tcPr>
        <w:shd w:val="clear" w:color="auto" w:fill="B5C0DF" w:themeFill="accent1" w:themeFillTint="66"/>
      </w:tcPr>
    </w:tblStylePr>
    <w:tblStylePr w:type="band1Horz">
      <w:tblPr/>
      <w:tcPr>
        <w:shd w:val="clear" w:color="auto" w:fill="B5C0DF" w:themeFill="accent1" w:themeFillTint="66"/>
      </w:tcPr>
    </w:tblStylePr>
  </w:style>
  <w:style w:type="table" w:styleId="TableauGrille5Fonc-Accentuation2">
    <w:name w:val="Grid Table 5 Dark Accent 2"/>
    <w:basedOn w:val="TableauNormal"/>
    <w:uiPriority w:val="50"/>
    <w:rsid w:val="00574A6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BF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9DD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9DD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29DD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29DD1" w:themeFill="accent2"/>
      </w:tcPr>
    </w:tblStylePr>
    <w:tblStylePr w:type="band1Vert">
      <w:tblPr/>
      <w:tcPr>
        <w:shd w:val="clear" w:color="auto" w:fill="C0D7EC" w:themeFill="accent2" w:themeFillTint="66"/>
      </w:tcPr>
    </w:tblStylePr>
    <w:tblStylePr w:type="band1Horz">
      <w:tblPr/>
      <w:tcPr>
        <w:shd w:val="clear" w:color="auto" w:fill="C0D7EC" w:themeFill="accent2" w:themeFillTint="66"/>
      </w:tcPr>
    </w:tblStylePr>
  </w:style>
  <w:style w:type="character" w:styleId="Textedelespacerserv">
    <w:name w:val="Placeholder Text"/>
    <w:basedOn w:val="Policepardfaut"/>
    <w:uiPriority w:val="99"/>
    <w:semiHidden/>
    <w:rsid w:val="00B05214"/>
    <w:rPr>
      <w:color w:val="666666"/>
    </w:rPr>
  </w:style>
  <w:style w:type="paragraph" w:customStyle="1" w:styleId="Rdacteur">
    <w:name w:val="Rédacteur"/>
    <w:basedOn w:val="Normal"/>
    <w:link w:val="RdacteurCar"/>
    <w:qFormat/>
    <w:rsid w:val="00D1386C"/>
    <w:pPr>
      <w:spacing w:after="0" w:line="240" w:lineRule="auto"/>
    </w:pPr>
    <w:rPr>
      <w:b/>
      <w:bCs/>
    </w:rPr>
  </w:style>
  <w:style w:type="character" w:customStyle="1" w:styleId="RdacteurCar">
    <w:name w:val="Rédacteur Car"/>
    <w:basedOn w:val="Policepardfaut"/>
    <w:link w:val="Rdacteur"/>
    <w:rsid w:val="00D1386C"/>
    <w:rPr>
      <w:b/>
      <w:bCs/>
    </w:rPr>
  </w:style>
  <w:style w:type="paragraph" w:customStyle="1" w:styleId="PuceCamembert">
    <w:name w:val="Puce Camembert"/>
    <w:basedOn w:val="Paragraphedeliste"/>
    <w:qFormat/>
    <w:rsid w:val="00DC3323"/>
    <w:pPr>
      <w:numPr>
        <w:numId w:val="5"/>
      </w:numPr>
    </w:pPr>
    <w:rPr>
      <w:noProof/>
    </w:rPr>
  </w:style>
  <w:style w:type="paragraph" w:customStyle="1" w:styleId="PuceD">
    <w:name w:val="Puce D"/>
    <w:qFormat/>
    <w:rsid w:val="00DC3323"/>
    <w:pPr>
      <w:numPr>
        <w:ilvl w:val="1"/>
        <w:numId w:val="5"/>
      </w:numPr>
    </w:pPr>
    <w:rPr>
      <w:noProof/>
      <w:sz w:val="22"/>
    </w:rPr>
  </w:style>
  <w:style w:type="paragraph" w:customStyle="1" w:styleId="tableau">
    <w:name w:val="tableau"/>
    <w:basedOn w:val="Normal"/>
    <w:qFormat/>
    <w:rsid w:val="00F016C9"/>
    <w:pPr>
      <w:spacing w:after="0" w:line="240" w:lineRule="auto"/>
      <w:ind w:left="168" w:right="308"/>
    </w:pPr>
    <w:rPr>
      <w:noProof/>
    </w:rPr>
  </w:style>
  <w:style w:type="paragraph" w:customStyle="1" w:styleId="titretableau">
    <w:name w:val="titre tableau"/>
    <w:basedOn w:val="Normal"/>
    <w:qFormat/>
    <w:rsid w:val="00F016C9"/>
    <w:pPr>
      <w:spacing w:before="240" w:after="0" w:line="240" w:lineRule="auto"/>
      <w:ind w:left="170"/>
    </w:pPr>
    <w:rPr>
      <w:b/>
      <w:bCs/>
      <w:color w:val="FFFFFF" w:themeColor="background1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A29E8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7875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875F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875F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75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75FD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uiPriority w:val="99"/>
    <w:unhideWhenUsed/>
    <w:rsid w:val="0043061A"/>
    <w:pPr>
      <w:spacing w:after="120" w:line="240" w:lineRule="auto"/>
    </w:pPr>
    <w:rPr>
      <w:rFonts w:ascii="Times New Roman" w:eastAsia="Lucida Sans Unicode" w:hAnsi="Times New Roman" w:cs="Times New Roman"/>
      <w:kern w:val="0"/>
      <w:szCs w:val="22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99"/>
    <w:rsid w:val="0043061A"/>
    <w:rPr>
      <w:rFonts w:ascii="Times New Roman" w:eastAsia="Lucida Sans Unicode" w:hAnsi="Times New Roman" w:cs="Times New Roman"/>
      <w:kern w:val="0"/>
      <w:sz w:val="22"/>
      <w:szCs w:val="22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6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6C8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A203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3A20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8449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501391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88587714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042306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9996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97098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18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446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9915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369366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96041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2476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2502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4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502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7794665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76915862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9312315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9394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8163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4934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832852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3935786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6470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489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  <w:div w:id="11818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65232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7613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1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800673\Downloads\Nouvelle%20charte%20graphique\Mod&#232;le%20cahier%20des%20charges%20DNA%20-%20Copie.dotx" TargetMode="External"/></Relationships>
</file>

<file path=word/theme/theme1.xml><?xml version="1.0" encoding="utf-8"?>
<a:theme xmlns:a="http://schemas.openxmlformats.org/drawingml/2006/main" name="Thème Offic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Personnalisé 23">
      <a:majorFont>
        <a:latin typeface="Rockwell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SOUS-TITRE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4f44e6-f10a-4b7d-bf22-b96199c08535">
      <Terms xmlns="http://schemas.microsoft.com/office/infopath/2007/PartnerControls"/>
    </lcf76f155ced4ddcb4097134ff3c332f>
    <TaxCatchAll xmlns="b04c0cd2-7785-4498-b6fd-74b6e70b1fe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36AF0D83FF5848ADDD0B5860E3FA4E" ma:contentTypeVersion="16" ma:contentTypeDescription="Crée un document." ma:contentTypeScope="" ma:versionID="79020c828138e6d39761a7dec5081431">
  <xsd:schema xmlns:xsd="http://www.w3.org/2001/XMLSchema" xmlns:xs="http://www.w3.org/2001/XMLSchema" xmlns:p="http://schemas.microsoft.com/office/2006/metadata/properties" xmlns:ns2="854f44e6-f10a-4b7d-bf22-b96199c08535" xmlns:ns3="b04c0cd2-7785-4498-b6fd-74b6e70b1fe1" targetNamespace="http://schemas.microsoft.com/office/2006/metadata/properties" ma:root="true" ma:fieldsID="1c06f9651cb83a27599e269d8492e956" ns2:_="" ns3:_="">
    <xsd:import namespace="854f44e6-f10a-4b7d-bf22-b96199c08535"/>
    <xsd:import namespace="b04c0cd2-7785-4498-b6fd-74b6e70b1f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f44e6-f10a-4b7d-bf22-b96199c085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3ff27869-bdc0-4c94-997a-7af7c7ce84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c0cd2-7785-4498-b6fd-74b6e70b1f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87f21e-a91e-4e5f-818f-5a2df4d7b169}" ma:internalName="TaxCatchAll" ma:showField="CatchAllData" ma:web="b04c0cd2-7785-4498-b6fd-74b6e70b1f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731CD5-BB5B-4337-8D68-72BEB089600F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b04c0cd2-7785-4498-b6fd-74b6e70b1fe1"/>
    <ds:schemaRef ds:uri="854f44e6-f10a-4b7d-bf22-b96199c08535"/>
  </ds:schemaRefs>
</ds:datastoreItem>
</file>

<file path=customXml/itemProps3.xml><?xml version="1.0" encoding="utf-8"?>
<ds:datastoreItem xmlns:ds="http://schemas.openxmlformats.org/officeDocument/2006/customXml" ds:itemID="{DCDF84F4-B83B-4811-AA8A-E7DE341F98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1E340B-985D-4B17-8FCA-D23FF4266A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4f44e6-f10a-4b7d-bf22-b96199c08535"/>
    <ds:schemaRef ds:uri="b04c0cd2-7785-4498-b6fd-74b6e70b1f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639D7B5-A26D-4D67-8C28-985C5BBA5C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ab83e74-56b0-4278-b32c-502d1f8f5b3e}" enabled="0" method="" siteId="{aab83e74-56b0-4278-b32c-502d1f8f5b3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Modèle cahier des charges DNA - Copie</Template>
  <TotalTime>14</TotalTime>
  <Pages>7</Pages>
  <Words>891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Réponse Technique</vt:lpstr>
    </vt:vector>
  </TitlesOfParts>
  <Company/>
  <LinksUpToDate>false</LinksUpToDate>
  <CharactersWithSpaces>5782</CharactersWithSpaces>
  <SharedDoc>false</SharedDoc>
  <HLinks>
    <vt:vector size="96" baseType="variant">
      <vt:variant>
        <vt:i4>1179708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_Toc189034796</vt:lpwstr>
      </vt:variant>
      <vt:variant>
        <vt:i4>1179708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_Toc189034795</vt:lpwstr>
      </vt:variant>
      <vt:variant>
        <vt:i4>1179708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_Toc189034794</vt:lpwstr>
      </vt:variant>
      <vt:variant>
        <vt:i4>1179708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_Toc189034793</vt:lpwstr>
      </vt:variant>
      <vt:variant>
        <vt:i4>1179708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_Toc189034792</vt:lpwstr>
      </vt:variant>
      <vt:variant>
        <vt:i4>1179708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_Toc189034791</vt:lpwstr>
      </vt:variant>
      <vt:variant>
        <vt:i4>1179708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_Toc189034790</vt:lpwstr>
      </vt:variant>
      <vt:variant>
        <vt:i4>1245244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_Toc189034789</vt:lpwstr>
      </vt:variant>
      <vt:variant>
        <vt:i4>1245244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_Toc189034788</vt:lpwstr>
      </vt:variant>
      <vt:variant>
        <vt:i4>1245244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_Toc189034787</vt:lpwstr>
      </vt:variant>
      <vt:variant>
        <vt:i4>1245244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_Toc189034786</vt:lpwstr>
      </vt:variant>
      <vt:variant>
        <vt:i4>1245244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_Toc189034785</vt:lpwstr>
      </vt:variant>
      <vt:variant>
        <vt:i4>1245244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_Toc189034784</vt:lpwstr>
      </vt:variant>
      <vt:variant>
        <vt:i4>1245244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_Toc189034783</vt:lpwstr>
      </vt:variant>
      <vt:variant>
        <vt:i4>1245244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_Toc189034782</vt:lpwstr>
      </vt:variant>
      <vt:variant>
        <vt:i4>1245244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_Toc189034781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Réponse Technique</dc:title>
  <dc:subject/>
  <dc:creator>Patricia Verge-Depre</dc:creator>
  <cp:keywords>QT;CRT</cp:keywords>
  <dc:description/>
  <cp:lastModifiedBy>GENEVOIS Aurélie</cp:lastModifiedBy>
  <cp:revision>5</cp:revision>
  <cp:lastPrinted>2024-03-28T17:30:00Z</cp:lastPrinted>
  <dcterms:created xsi:type="dcterms:W3CDTF">2025-07-23T08:07:00Z</dcterms:created>
  <dcterms:modified xsi:type="dcterms:W3CDTF">2025-07-29T12:03:00Z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0x0101002E36AF0D83FF5848ADDD0B5860E3FA4E</vt:lpwstr>
  </property>
  <property fmtid="{D5CDD505-2E9C-101B-9397-08002B2CF9AE}" pid="3" name="MediaServiceImageTags">
    <vt:lpwstr/>
  </property>
</Properties>
</file>